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76" w:rsidRPr="009A3272" w:rsidRDefault="008971A2" w:rsidP="00642810">
      <w:pPr>
        <w:ind w:left="68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BA3376" w:rsidRPr="009A3272">
        <w:rPr>
          <w:rFonts w:ascii="Arial" w:hAnsi="Arial" w:cs="Arial"/>
          <w:b/>
          <w:sz w:val="22"/>
          <w:szCs w:val="22"/>
        </w:rPr>
        <w:t>K-</w:t>
      </w:r>
      <w:r>
        <w:rPr>
          <w:rFonts w:ascii="Arial" w:hAnsi="Arial" w:cs="Arial"/>
          <w:b/>
          <w:sz w:val="22"/>
          <w:szCs w:val="22"/>
        </w:rPr>
        <w:t>0</w:t>
      </w:r>
      <w:r w:rsidR="00CB7FDA">
        <w:rPr>
          <w:rFonts w:ascii="Arial" w:hAnsi="Arial" w:cs="Arial"/>
          <w:b/>
          <w:sz w:val="22"/>
          <w:szCs w:val="22"/>
        </w:rPr>
        <w:t>5</w:t>
      </w:r>
      <w:r w:rsidR="00BA3376">
        <w:rPr>
          <w:rFonts w:ascii="Arial" w:hAnsi="Arial" w:cs="Arial"/>
          <w:b/>
          <w:sz w:val="22"/>
          <w:szCs w:val="22"/>
        </w:rPr>
        <w:t>-2016</w:t>
      </w:r>
      <w:r w:rsidR="00BA3376" w:rsidRPr="009A3272">
        <w:rPr>
          <w:rFonts w:ascii="Arial" w:hAnsi="Arial" w:cs="Arial"/>
          <w:b/>
          <w:sz w:val="22"/>
          <w:szCs w:val="22"/>
        </w:rPr>
        <w:t>-</w:t>
      </w:r>
      <w:r w:rsidR="00994341">
        <w:rPr>
          <w:rFonts w:ascii="Arial" w:hAnsi="Arial" w:cs="Arial"/>
          <w:b/>
          <w:sz w:val="22"/>
          <w:szCs w:val="22"/>
        </w:rPr>
        <w:t>74</w:t>
      </w:r>
      <w:bookmarkStart w:id="0" w:name="_GoBack"/>
      <w:bookmarkEnd w:id="0"/>
      <w:r w:rsidR="00BA3376" w:rsidRPr="009A3272">
        <w:rPr>
          <w:rFonts w:ascii="Arial" w:hAnsi="Arial" w:cs="Arial"/>
          <w:b/>
          <w:sz w:val="22"/>
          <w:szCs w:val="22"/>
        </w:rPr>
        <w:t xml:space="preserve">, př. </w:t>
      </w:r>
      <w:r w:rsidR="00C34AE7">
        <w:rPr>
          <w:rFonts w:ascii="Arial" w:hAnsi="Arial" w:cs="Arial"/>
          <w:b/>
          <w:sz w:val="22"/>
          <w:szCs w:val="22"/>
        </w:rPr>
        <w:t>2</w:t>
      </w:r>
    </w:p>
    <w:p w:rsidR="00BA3376" w:rsidRPr="009A3272" w:rsidRDefault="00BA3376" w:rsidP="00642810">
      <w:pPr>
        <w:ind w:left="6804"/>
        <w:rPr>
          <w:rFonts w:ascii="Arial" w:hAnsi="Arial" w:cs="Arial"/>
          <w:b/>
          <w:bCs/>
          <w:sz w:val="22"/>
          <w:szCs w:val="22"/>
        </w:rPr>
      </w:pPr>
      <w:r w:rsidRPr="009A3272">
        <w:rPr>
          <w:rFonts w:ascii="Arial" w:hAnsi="Arial" w:cs="Arial"/>
          <w:b/>
          <w:bCs/>
          <w:sz w:val="22"/>
          <w:szCs w:val="22"/>
        </w:rPr>
        <w:t xml:space="preserve">počet stran: </w:t>
      </w:r>
      <w:r w:rsidR="00C34AE7">
        <w:rPr>
          <w:rFonts w:ascii="Arial" w:hAnsi="Arial" w:cs="Arial"/>
          <w:b/>
          <w:bCs/>
          <w:sz w:val="22"/>
          <w:szCs w:val="22"/>
        </w:rPr>
        <w:t>2</w:t>
      </w:r>
    </w:p>
    <w:p w:rsidR="00BA3376" w:rsidRPr="009A3272" w:rsidRDefault="00BA3376" w:rsidP="00642810">
      <w:pPr>
        <w:ind w:left="6804"/>
        <w:rPr>
          <w:rFonts w:ascii="Arial" w:hAnsi="Arial" w:cs="Arial"/>
          <w:sz w:val="22"/>
          <w:szCs w:val="22"/>
        </w:rPr>
      </w:pPr>
    </w:p>
    <w:p w:rsidR="00020543" w:rsidRDefault="00020543" w:rsidP="003B237C"/>
    <w:p w:rsidR="00C34AE7" w:rsidRDefault="00C34AE7" w:rsidP="00C34AE7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Srovnání varianty podepsané ze strany státu (S) a varianty, která prošla zastupitelstvem (Z):</w:t>
      </w:r>
    </w:p>
    <w:p w:rsidR="00C34AE7" w:rsidRDefault="00C34AE7" w:rsidP="00C34AE7">
      <w:pPr>
        <w:rPr>
          <w:rFonts w:ascii="Arial" w:hAnsi="Arial" w:cs="Arial"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Čl. 2 odst. 2 + čl. 2 odst. 5 (S)</w:t>
      </w:r>
    </w:p>
    <w:p w:rsidR="00C34AE7" w:rsidRDefault="00C34AE7" w:rsidP="00C34AE7">
      <w:pPr>
        <w:pStyle w:val="Odstavecseseznamem"/>
        <w:rPr>
          <w:rFonts w:ascii="Arial" w:hAnsi="Arial" w:cs="Arial"/>
          <w:color w:val="1F497D"/>
        </w:rPr>
      </w:pPr>
      <w:r>
        <w:rPr>
          <w:rFonts w:ascii="Arial" w:hAnsi="Arial" w:cs="Arial"/>
          <w:i/>
          <w:iCs/>
          <w:color w:val="1F497D"/>
        </w:rPr>
        <w:t>„celková výše spolufinancování ze státního rozpočtu upravena o průměrný roční index spotřebitelských cen vyhlášený ČSÚ) za předcházející období“</w:t>
      </w:r>
      <w:r>
        <w:rPr>
          <w:rFonts w:ascii="Arial" w:hAnsi="Arial" w:cs="Arial"/>
          <w:color w:val="1F497D"/>
        </w:rPr>
        <w:t xml:space="preserve">  ve variantě (Z) odkaz na čl. 2 odst. 5, kde byl uveden nárůst kompenzace za použití dopravní cesty, vlivem navýšení úhrady v důsledku změn daňových předpisů, rozhodnutím orgánů veřejné moci, vlivem cen trakční energie, PHM, převodem majetku ČD.</w:t>
      </w:r>
    </w:p>
    <w:p w:rsidR="00C34AE7" w:rsidRDefault="00C34AE7" w:rsidP="00C34AE7">
      <w:pPr>
        <w:pStyle w:val="Odstavecseseznamem"/>
        <w:rPr>
          <w:rFonts w:ascii="Arial" w:hAnsi="Arial" w:cs="Arial"/>
          <w:color w:val="1F497D"/>
        </w:rPr>
      </w:pPr>
    </w:p>
    <w:p w:rsidR="00C34AE7" w:rsidRDefault="00C34AE7" w:rsidP="00C34AE7">
      <w:pPr>
        <w:pStyle w:val="Odstavecseseznamem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V čl. 2 odst. 5 je závazek státu uhradit ze státního rozpočtu nad rámec celkové výše spolufinancování </w:t>
      </w:r>
      <w:proofErr w:type="spellStart"/>
      <w:r>
        <w:rPr>
          <w:rFonts w:ascii="Arial" w:hAnsi="Arial" w:cs="Arial"/>
          <w:color w:val="1F497D"/>
        </w:rPr>
        <w:t>nadinflační</w:t>
      </w:r>
      <w:proofErr w:type="spellEnd"/>
      <w:r>
        <w:rPr>
          <w:rFonts w:ascii="Arial" w:hAnsi="Arial" w:cs="Arial"/>
          <w:color w:val="1F497D"/>
        </w:rPr>
        <w:t xml:space="preserve"> změnu kompenzací vyvolanou navýšením cen za použití dopravní cesty.</w:t>
      </w:r>
    </w:p>
    <w:p w:rsidR="00C34AE7" w:rsidRDefault="00C34AE7" w:rsidP="00C34AE7">
      <w:pPr>
        <w:pStyle w:val="Odstavecseseznamem"/>
        <w:ind w:left="0"/>
        <w:rPr>
          <w:color w:val="1F497D"/>
        </w:rPr>
      </w:pPr>
    </w:p>
    <w:p w:rsidR="00C34AE7" w:rsidRDefault="00C34AE7" w:rsidP="00C34AE7">
      <w:pPr>
        <w:pStyle w:val="Odstavecseseznamem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Ve smlouvě chybí ustanovení, že memorandum bude navýšeno vlivem růstu PHM, trakční energie atd. a je tam ve výsledku ukotveno jen navýšení z důvodu inflace a nárůstu poplatku za dopravní cestu. Je na zvážení, zda s tím takto souhlasit.</w:t>
      </w:r>
    </w:p>
    <w:p w:rsidR="00C34AE7" w:rsidRDefault="00C34AE7" w:rsidP="00C34AE7">
      <w:pPr>
        <w:pStyle w:val="Odstavecseseznamem"/>
        <w:ind w:left="0"/>
        <w:rPr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Čl. 3 odst. 3 ve variantě (S) se stát zavazuje k navýšení o </w:t>
      </w:r>
      <w:r>
        <w:rPr>
          <w:rFonts w:ascii="Arial" w:hAnsi="Arial" w:cs="Arial"/>
          <w:i/>
          <w:iCs/>
          <w:color w:val="1F497D"/>
        </w:rPr>
        <w:t xml:space="preserve">„standardní inflační navýšení z předchozích let“ </w:t>
      </w:r>
      <w:r>
        <w:rPr>
          <w:rFonts w:ascii="Arial" w:hAnsi="Arial" w:cs="Arial"/>
          <w:color w:val="1F497D"/>
        </w:rPr>
        <w:t xml:space="preserve"> - odkazem na čl. 2 odst. 2 je upřesněno 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2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Změna je nepodstatná a myslím, že v pořádku, Souhlas.</w:t>
      </w:r>
    </w:p>
    <w:p w:rsidR="00C34AE7" w:rsidRDefault="00C34AE7" w:rsidP="00C34AE7">
      <w:pPr>
        <w:pStyle w:val="Odstavecseseznamem"/>
        <w:rPr>
          <w:rFonts w:ascii="Arial" w:hAnsi="Arial" w:cs="Arial"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 xml:space="preserve">Čl. 4 odst. 1 varianta (S) je doplněno </w:t>
      </w:r>
      <w:r>
        <w:rPr>
          <w:rFonts w:ascii="Arial" w:hAnsi="Arial" w:cs="Arial"/>
          <w:i/>
          <w:iCs/>
          <w:color w:val="1F497D"/>
        </w:rPr>
        <w:t xml:space="preserve">„žádost o dotaci kraj předloží MD nejpozději do konce srpna příslušného kalendářního roku“ – 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20"/>
        <w:rPr>
          <w:rFonts w:ascii="Arial" w:hAnsi="Arial" w:cs="Arial"/>
          <w:i/>
          <w:iCs/>
          <w:color w:val="00B050"/>
        </w:rPr>
      </w:pPr>
      <w:r>
        <w:rPr>
          <w:rFonts w:ascii="Arial" w:hAnsi="Arial" w:cs="Arial"/>
          <w:color w:val="00B050"/>
        </w:rPr>
        <w:t>V případě, že budeme s dopravci uzavírat dodatky včas tak není problém, ale když to nestihneme do konce srpna</w:t>
      </w:r>
      <w:r>
        <w:rPr>
          <w:rFonts w:ascii="Arial" w:hAnsi="Arial" w:cs="Arial"/>
          <w:color w:val="1F497D"/>
        </w:rPr>
        <w:t>,</w:t>
      </w:r>
      <w:r>
        <w:rPr>
          <w:rFonts w:ascii="Arial" w:hAnsi="Arial" w:cs="Arial"/>
          <w:color w:val="00B050"/>
        </w:rPr>
        <w:t xml:space="preserve"> tak o memorandum v daném roce přijdeme. Na základě stávajících smluv je to hlavně problém dopravců, ale v budoucnu to ve výsledku může být náš problém. Nyní je termín na memorandum celý kalendářní rok.</w:t>
      </w: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 xml:space="preserve">Čl. 4 odst. 3 varianta (S) vypuštěn text v závorce </w:t>
      </w:r>
      <w:r>
        <w:rPr>
          <w:rFonts w:ascii="Arial" w:hAnsi="Arial" w:cs="Arial"/>
          <w:i/>
          <w:iCs/>
          <w:color w:val="1F497D"/>
        </w:rPr>
        <w:t xml:space="preserve">(platí pro případy společných mezikrajských linek) 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20"/>
        <w:rPr>
          <w:rFonts w:ascii="Arial" w:hAnsi="Arial" w:cs="Arial"/>
          <w:i/>
          <w:iCs/>
          <w:color w:val="00B050"/>
        </w:rPr>
      </w:pPr>
      <w:r>
        <w:rPr>
          <w:rFonts w:ascii="Arial" w:hAnsi="Arial" w:cs="Arial"/>
          <w:color w:val="00B050"/>
        </w:rPr>
        <w:t>nemá vliv na text tohoto odstavce</w:t>
      </w: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>Čl. 4 odst. 5 varianta (S)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20"/>
        <w:rPr>
          <w:rFonts w:ascii="Arial" w:hAnsi="Arial" w:cs="Arial"/>
          <w:i/>
          <w:iCs/>
          <w:color w:val="00B050"/>
        </w:rPr>
      </w:pPr>
      <w:r>
        <w:rPr>
          <w:rFonts w:ascii="Arial" w:hAnsi="Arial" w:cs="Arial"/>
          <w:color w:val="00B050"/>
        </w:rPr>
        <w:t>není uveden odkaz na přílohu č. 1 – Souhlas</w:t>
      </w: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 xml:space="preserve">Čl. 4 odst. 7 varianta (S) – vypuštěn text </w:t>
      </w:r>
      <w:r>
        <w:rPr>
          <w:rFonts w:ascii="Arial" w:hAnsi="Arial" w:cs="Arial"/>
          <w:i/>
          <w:iCs/>
          <w:color w:val="1F497D"/>
        </w:rPr>
        <w:t xml:space="preserve">„tj. kraj je v tomto smyslu oprávněn požadovat navýšení až  o částku, kterou Stát v minulosti krátil dle ustanovení odstavce 5 tohoto článku“ </w:t>
      </w:r>
      <w:r>
        <w:rPr>
          <w:rFonts w:ascii="Arial" w:hAnsi="Arial" w:cs="Arial"/>
          <w:color w:val="1F497D"/>
        </w:rPr>
        <w:t> - jednalo se pouze o upřesňující ustanovení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08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Souhlas</w:t>
      </w: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lastRenderedPageBreak/>
        <w:t xml:space="preserve">Čl. 4 odst. 10 varianta (S) – toto ustanovení vypuštěno – jednalo se o možnost odchýlení od </w:t>
      </w:r>
      <w:proofErr w:type="spellStart"/>
      <w:r>
        <w:rPr>
          <w:rFonts w:ascii="Arial" w:hAnsi="Arial" w:cs="Arial"/>
          <w:color w:val="1F497D"/>
        </w:rPr>
        <w:t>ust</w:t>
      </w:r>
      <w:proofErr w:type="spellEnd"/>
      <w:r>
        <w:rPr>
          <w:rFonts w:ascii="Arial" w:hAnsi="Arial" w:cs="Arial"/>
          <w:color w:val="1F497D"/>
        </w:rPr>
        <w:t xml:space="preserve">. </w:t>
      </w:r>
      <w:proofErr w:type="gramStart"/>
      <w:r>
        <w:rPr>
          <w:rFonts w:ascii="Arial" w:hAnsi="Arial" w:cs="Arial"/>
          <w:color w:val="1F497D"/>
        </w:rPr>
        <w:t>sjednaných</w:t>
      </w:r>
      <w:proofErr w:type="gramEnd"/>
      <w:r>
        <w:rPr>
          <w:rFonts w:ascii="Arial" w:hAnsi="Arial" w:cs="Arial"/>
          <w:color w:val="1F497D"/>
        </w:rPr>
        <w:t xml:space="preserve"> v čl. 4 odst. 2 – 9  smlouvy pouze za předpokladu předchozího souhlasu AKČR a MD 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08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Naprostý souhlas</w:t>
      </w: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color w:val="1F497D"/>
        </w:rPr>
      </w:pPr>
      <w:r>
        <w:rPr>
          <w:rFonts w:ascii="Arial" w:hAnsi="Arial" w:cs="Arial"/>
          <w:color w:val="1F497D"/>
        </w:rPr>
        <w:t>Čl. 5 odst. 3 varianta (S)  - vypuštěn text o nepoužití ustanovení § 2 odst. 3 a § 14 odst. 1 zák. o rozpočtových pravidlech –</w:t>
      </w:r>
    </w:p>
    <w:p w:rsidR="00C34AE7" w:rsidRDefault="00C34AE7" w:rsidP="00C34AE7">
      <w:pPr>
        <w:ind w:left="708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Souhlas</w:t>
      </w: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 xml:space="preserve">Čl. 5 odst. 4 varianta (S) vazba na změnu čl. 2 odst. 5 – změna kompenzace v důsledku úpravy cen za železniční dopravní cestu – </w:t>
      </w:r>
      <w:r>
        <w:rPr>
          <w:rFonts w:ascii="Arial" w:hAnsi="Arial" w:cs="Arial"/>
          <w:color w:val="00B050"/>
        </w:rPr>
        <w:t>souvisí s odrážkou první tohoto vyjádření</w:t>
      </w:r>
    </w:p>
    <w:p w:rsidR="00C34AE7" w:rsidRDefault="00C34AE7" w:rsidP="00C34AE7">
      <w:pPr>
        <w:ind w:left="360"/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 xml:space="preserve">Čl. 5 odst. 5 varianta (S) textová úprava </w:t>
      </w:r>
      <w:r>
        <w:rPr>
          <w:rFonts w:ascii="Arial" w:hAnsi="Arial" w:cs="Arial"/>
          <w:i/>
          <w:iCs/>
          <w:color w:val="1F497D"/>
        </w:rPr>
        <w:t xml:space="preserve">„v případě souvisejícího zásahu do podílu státního spolufinancování“ </w:t>
      </w:r>
      <w:r>
        <w:rPr>
          <w:rFonts w:ascii="Arial" w:hAnsi="Arial" w:cs="Arial"/>
          <w:color w:val="1F497D"/>
        </w:rPr>
        <w:t> 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2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bez vlivu na význam ustanovení - souhlas</w:t>
      </w:r>
    </w:p>
    <w:p w:rsidR="00C34AE7" w:rsidRDefault="00C34AE7" w:rsidP="00C34AE7">
      <w:pPr>
        <w:ind w:left="720"/>
        <w:rPr>
          <w:rFonts w:ascii="Arial" w:hAnsi="Arial" w:cs="Arial"/>
          <w:color w:val="00B050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 xml:space="preserve">Ve variantě (S) jsou vypuštěna „Zvláštní ustanovení“ – </w:t>
      </w:r>
      <w:r>
        <w:rPr>
          <w:rFonts w:ascii="Arial" w:hAnsi="Arial" w:cs="Arial"/>
          <w:i/>
          <w:iCs/>
          <w:color w:val="1F497D"/>
        </w:rPr>
        <w:t>Jestliže kraje v konkrétním případě splní potřebné podmínky dle této smlouvy  a dle příslušných právních předpisů, zavazuje se stát odpovídající příspěvek ve výši dle této smlouvy poskytnout. Dále „Jestliže stát k žádosti kraje zcela nebo zčásti neposkytne finanční prostředky na kompenzaci veřejných služeb ve veřejné drážní osobní dopravě dle této smlouvy, ačkoli kraj v konkrétním případě splní potřebné podmínky dle této smlouvy a dle příslušných právních předpisů, zavazuje se stát dotčenému kraji uhradit smluvní pokutu ve výši částky odpovídající rozdílu poskytnutých finančních prostředků za konkrétní rok a finančních prostředků, které by měl stát v souladu s touto smlouvou poskytnout.“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08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Došlo k vypostění ustanovení, které zdůrazňovala, že se stát zavazuje plnit memorandum a případně za neplnění uhradí stát kraji smluvní pokutu. Sama smlouva, ale říká v článku 1. Odst. 1 písm. b) že poskytne prostřednictvím ministerstva finanční prostředky dle smlouvy. Proto je na zvážení zda trvat na zvláštní ustanovení které v podstatě tento závazek zdůrazňovala.</w:t>
      </w: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>Ve variantě (S) jsou vypuštěna ujednání „Asociace krajů České republiky“ – řešení sporů prostřednictvím asociace, uplatňování smluvních pokut se stanoviskem asociace.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08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Souhlas</w:t>
      </w: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 xml:space="preserve">Čl. 6 odst. 2 varianta (S) – účinky této smlouvy ve vztahu ke kraji, který </w:t>
      </w:r>
      <w:proofErr w:type="gramStart"/>
      <w:r>
        <w:rPr>
          <w:rFonts w:ascii="Arial" w:hAnsi="Arial" w:cs="Arial"/>
          <w:color w:val="1F497D"/>
        </w:rPr>
        <w:t>přistoupí</w:t>
      </w:r>
      <w:proofErr w:type="gramEnd"/>
      <w:r>
        <w:rPr>
          <w:rFonts w:ascii="Arial" w:hAnsi="Arial" w:cs="Arial"/>
          <w:color w:val="1F497D"/>
        </w:rPr>
        <w:t xml:space="preserve"> dodatečně </w:t>
      </w:r>
      <w:proofErr w:type="gramStart"/>
      <w:r>
        <w:rPr>
          <w:rFonts w:ascii="Arial" w:hAnsi="Arial" w:cs="Arial"/>
          <w:color w:val="1F497D"/>
        </w:rPr>
        <w:t>vznikají</w:t>
      </w:r>
      <w:proofErr w:type="gramEnd"/>
      <w:r>
        <w:rPr>
          <w:rFonts w:ascii="Arial" w:hAnsi="Arial" w:cs="Arial"/>
          <w:color w:val="1F497D"/>
        </w:rPr>
        <w:t xml:space="preserve"> doručením informace státu a krajům o této skutečnosti.</w:t>
      </w:r>
    </w:p>
    <w:p w:rsidR="00C34AE7" w:rsidRDefault="00C34AE7" w:rsidP="00C34AE7">
      <w:pPr>
        <w:rPr>
          <w:rFonts w:ascii="Calibri" w:hAnsi="Calibri"/>
          <w:color w:val="1F497D"/>
        </w:rPr>
      </w:pPr>
    </w:p>
    <w:p w:rsidR="00C34AE7" w:rsidRDefault="00C34AE7" w:rsidP="00C34AE7">
      <w:pPr>
        <w:ind w:left="708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Souhlas</w:t>
      </w:r>
    </w:p>
    <w:p w:rsidR="00C34AE7" w:rsidRDefault="00C34AE7" w:rsidP="00C34AE7">
      <w:pPr>
        <w:rPr>
          <w:rFonts w:ascii="Arial" w:hAnsi="Arial" w:cs="Arial"/>
          <w:i/>
          <w:iCs/>
          <w:color w:val="1F497D"/>
        </w:rPr>
      </w:pPr>
    </w:p>
    <w:p w:rsidR="00C34AE7" w:rsidRDefault="00C34AE7" w:rsidP="00C34AE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color w:val="1F497D"/>
        </w:rPr>
        <w:t>Čl. 6 odst. 3 varianta (S) – smlouva může být ukončena dohodou smluvních stran. Ve variantě (Z) byla v čl. 8 odst. 6 uvedena možnost výpovědi této smlouvy ze strany krajů.</w:t>
      </w:r>
    </w:p>
    <w:p w:rsidR="00C34AE7" w:rsidRDefault="00C34AE7" w:rsidP="00C34AE7">
      <w:pPr>
        <w:pStyle w:val="Odstavecseseznamem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Souhlas</w:t>
      </w:r>
    </w:p>
    <w:sectPr w:rsidR="00C34AE7" w:rsidSect="00F444E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06" w:rsidRDefault="00886C06">
      <w:r>
        <w:separator/>
      </w:r>
    </w:p>
  </w:endnote>
  <w:endnote w:type="continuationSeparator" w:id="0">
    <w:p w:rsidR="00886C06" w:rsidRDefault="0088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8C" w:rsidRDefault="0042238C" w:rsidP="00EF56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238C" w:rsidRDefault="004223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8C" w:rsidRDefault="0042238C" w:rsidP="00EF56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341">
      <w:rPr>
        <w:rStyle w:val="slostrnky"/>
        <w:noProof/>
      </w:rPr>
      <w:t>2</w:t>
    </w:r>
    <w:r>
      <w:rPr>
        <w:rStyle w:val="slostrnky"/>
      </w:rPr>
      <w:fldChar w:fldCharType="end"/>
    </w:r>
  </w:p>
  <w:p w:rsidR="0042238C" w:rsidRDefault="004223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06" w:rsidRDefault="00886C06">
      <w:r>
        <w:separator/>
      </w:r>
    </w:p>
  </w:footnote>
  <w:footnote w:type="continuationSeparator" w:id="0">
    <w:p w:rsidR="00886C06" w:rsidRDefault="0088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3EF"/>
    <w:multiLevelType w:val="hybridMultilevel"/>
    <w:tmpl w:val="DDC428B4"/>
    <w:lvl w:ilvl="0" w:tplc="7E4C8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40A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3A03"/>
    <w:multiLevelType w:val="hybridMultilevel"/>
    <w:tmpl w:val="007CC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367C8"/>
    <w:multiLevelType w:val="hybridMultilevel"/>
    <w:tmpl w:val="05B8D34C"/>
    <w:lvl w:ilvl="0" w:tplc="B2FCF5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54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2722"/>
    <w:multiLevelType w:val="hybridMultilevel"/>
    <w:tmpl w:val="54B89F42"/>
    <w:lvl w:ilvl="0" w:tplc="7526A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1321D"/>
    <w:multiLevelType w:val="hybridMultilevel"/>
    <w:tmpl w:val="07941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F56A7"/>
    <w:multiLevelType w:val="hybridMultilevel"/>
    <w:tmpl w:val="BFBC1598"/>
    <w:lvl w:ilvl="0" w:tplc="287CA7F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3480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2ABD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D192418"/>
    <w:multiLevelType w:val="hybridMultilevel"/>
    <w:tmpl w:val="870E9DC8"/>
    <w:lvl w:ilvl="0" w:tplc="B628D3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93A32"/>
    <w:multiLevelType w:val="hybridMultilevel"/>
    <w:tmpl w:val="D4D4454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68B8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EA7743"/>
    <w:multiLevelType w:val="multilevel"/>
    <w:tmpl w:val="975C29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FE0079D"/>
    <w:multiLevelType w:val="hybridMultilevel"/>
    <w:tmpl w:val="0DFC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D3DC1"/>
    <w:multiLevelType w:val="hybridMultilevel"/>
    <w:tmpl w:val="CA28E5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F7FEC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137337"/>
    <w:multiLevelType w:val="hybridMultilevel"/>
    <w:tmpl w:val="A77240A0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3665B9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B6B35"/>
    <w:multiLevelType w:val="hybridMultilevel"/>
    <w:tmpl w:val="222653E8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EE1A4A"/>
    <w:multiLevelType w:val="hybridMultilevel"/>
    <w:tmpl w:val="68BEC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C8F"/>
    <w:multiLevelType w:val="hybridMultilevel"/>
    <w:tmpl w:val="663A3DCE"/>
    <w:lvl w:ilvl="0" w:tplc="BC5EE8D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1C2206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6808F3"/>
    <w:multiLevelType w:val="hybridMultilevel"/>
    <w:tmpl w:val="74DA6458"/>
    <w:lvl w:ilvl="0" w:tplc="DBD0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6B88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11755"/>
    <w:multiLevelType w:val="hybridMultilevel"/>
    <w:tmpl w:val="D952ABE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22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8F71A3"/>
    <w:multiLevelType w:val="hybridMultilevel"/>
    <w:tmpl w:val="ACB08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23"/>
  </w:num>
  <w:num w:numId="5">
    <w:abstractNumId w:val="2"/>
  </w:num>
  <w:num w:numId="6">
    <w:abstractNumId w:val="10"/>
  </w:num>
  <w:num w:numId="7">
    <w:abstractNumId w:val="15"/>
  </w:num>
  <w:num w:numId="8">
    <w:abstractNumId w:val="5"/>
  </w:num>
  <w:num w:numId="9">
    <w:abstractNumId w:val="25"/>
  </w:num>
  <w:num w:numId="10">
    <w:abstractNumId w:val="21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12"/>
  </w:num>
  <w:num w:numId="17">
    <w:abstractNumId w:val="16"/>
  </w:num>
  <w:num w:numId="18">
    <w:abstractNumId w:val="22"/>
  </w:num>
  <w:num w:numId="19">
    <w:abstractNumId w:val="9"/>
  </w:num>
  <w:num w:numId="20">
    <w:abstractNumId w:val="17"/>
  </w:num>
  <w:num w:numId="21">
    <w:abstractNumId w:val="19"/>
  </w:num>
  <w:num w:numId="22">
    <w:abstractNumId w:val="14"/>
  </w:num>
  <w:num w:numId="23">
    <w:abstractNumId w:val="13"/>
  </w:num>
  <w:num w:numId="24">
    <w:abstractNumId w:val="3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43"/>
    <w:rsid w:val="0002024C"/>
    <w:rsid w:val="00020543"/>
    <w:rsid w:val="000509E9"/>
    <w:rsid w:val="000B7623"/>
    <w:rsid w:val="000E5E7C"/>
    <w:rsid w:val="00101436"/>
    <w:rsid w:val="00132C76"/>
    <w:rsid w:val="00132CA2"/>
    <w:rsid w:val="00191E50"/>
    <w:rsid w:val="001E6AC5"/>
    <w:rsid w:val="00201C5C"/>
    <w:rsid w:val="00216FCB"/>
    <w:rsid w:val="00222B94"/>
    <w:rsid w:val="00240ABA"/>
    <w:rsid w:val="0025459C"/>
    <w:rsid w:val="002622D9"/>
    <w:rsid w:val="002625A3"/>
    <w:rsid w:val="002639B1"/>
    <w:rsid w:val="002A141D"/>
    <w:rsid w:val="002E7064"/>
    <w:rsid w:val="002F4787"/>
    <w:rsid w:val="00303957"/>
    <w:rsid w:val="00327310"/>
    <w:rsid w:val="003526C6"/>
    <w:rsid w:val="00380449"/>
    <w:rsid w:val="003A133F"/>
    <w:rsid w:val="003B237C"/>
    <w:rsid w:val="003C0303"/>
    <w:rsid w:val="003C06B6"/>
    <w:rsid w:val="003C7A62"/>
    <w:rsid w:val="003D35EA"/>
    <w:rsid w:val="004044C8"/>
    <w:rsid w:val="00422305"/>
    <w:rsid w:val="0042238C"/>
    <w:rsid w:val="0042585D"/>
    <w:rsid w:val="00433D3C"/>
    <w:rsid w:val="004A5A5A"/>
    <w:rsid w:val="004F325C"/>
    <w:rsid w:val="005468D1"/>
    <w:rsid w:val="00555A31"/>
    <w:rsid w:val="00556E6F"/>
    <w:rsid w:val="00572C15"/>
    <w:rsid w:val="005775F7"/>
    <w:rsid w:val="0059519C"/>
    <w:rsid w:val="005C2F75"/>
    <w:rsid w:val="005F415B"/>
    <w:rsid w:val="006113C1"/>
    <w:rsid w:val="00613D5E"/>
    <w:rsid w:val="00632EA9"/>
    <w:rsid w:val="00642810"/>
    <w:rsid w:val="00683BC4"/>
    <w:rsid w:val="00685877"/>
    <w:rsid w:val="006E3139"/>
    <w:rsid w:val="006F6408"/>
    <w:rsid w:val="00713BA5"/>
    <w:rsid w:val="007201E2"/>
    <w:rsid w:val="00720DE2"/>
    <w:rsid w:val="007342CB"/>
    <w:rsid w:val="007455F4"/>
    <w:rsid w:val="00746CA0"/>
    <w:rsid w:val="007E44C0"/>
    <w:rsid w:val="0081436B"/>
    <w:rsid w:val="008200D7"/>
    <w:rsid w:val="00836A9F"/>
    <w:rsid w:val="00846DDF"/>
    <w:rsid w:val="00864209"/>
    <w:rsid w:val="00886C06"/>
    <w:rsid w:val="008971A2"/>
    <w:rsid w:val="008B369A"/>
    <w:rsid w:val="008E4D10"/>
    <w:rsid w:val="009340C4"/>
    <w:rsid w:val="00953E0B"/>
    <w:rsid w:val="0095678B"/>
    <w:rsid w:val="0096263A"/>
    <w:rsid w:val="00994341"/>
    <w:rsid w:val="009A615D"/>
    <w:rsid w:val="009B6B9C"/>
    <w:rsid w:val="009C3096"/>
    <w:rsid w:val="009D0B27"/>
    <w:rsid w:val="009E581A"/>
    <w:rsid w:val="00A12A62"/>
    <w:rsid w:val="00A21625"/>
    <w:rsid w:val="00A3426E"/>
    <w:rsid w:val="00A37B36"/>
    <w:rsid w:val="00A4142E"/>
    <w:rsid w:val="00A62516"/>
    <w:rsid w:val="00A62D6B"/>
    <w:rsid w:val="00A672B7"/>
    <w:rsid w:val="00AE2A04"/>
    <w:rsid w:val="00B11174"/>
    <w:rsid w:val="00B111A9"/>
    <w:rsid w:val="00B12015"/>
    <w:rsid w:val="00B142C8"/>
    <w:rsid w:val="00B21BAD"/>
    <w:rsid w:val="00B55F7C"/>
    <w:rsid w:val="00B62B95"/>
    <w:rsid w:val="00B95DE2"/>
    <w:rsid w:val="00BA19D0"/>
    <w:rsid w:val="00BA3376"/>
    <w:rsid w:val="00BD1291"/>
    <w:rsid w:val="00BF0C4C"/>
    <w:rsid w:val="00C34AE7"/>
    <w:rsid w:val="00C87F1E"/>
    <w:rsid w:val="00CA1B10"/>
    <w:rsid w:val="00CB7FDA"/>
    <w:rsid w:val="00CD73A6"/>
    <w:rsid w:val="00D2583D"/>
    <w:rsid w:val="00D26CFF"/>
    <w:rsid w:val="00D446A7"/>
    <w:rsid w:val="00D453ED"/>
    <w:rsid w:val="00D45E08"/>
    <w:rsid w:val="00D603A4"/>
    <w:rsid w:val="00D6500C"/>
    <w:rsid w:val="00D72007"/>
    <w:rsid w:val="00D778B4"/>
    <w:rsid w:val="00DD3E5E"/>
    <w:rsid w:val="00DF5C91"/>
    <w:rsid w:val="00E030A2"/>
    <w:rsid w:val="00E078FD"/>
    <w:rsid w:val="00E30AA4"/>
    <w:rsid w:val="00E73B68"/>
    <w:rsid w:val="00E83B0E"/>
    <w:rsid w:val="00E9714F"/>
    <w:rsid w:val="00EA726B"/>
    <w:rsid w:val="00EC1AC8"/>
    <w:rsid w:val="00EC6218"/>
    <w:rsid w:val="00EE216F"/>
    <w:rsid w:val="00EF21A9"/>
    <w:rsid w:val="00EF26DD"/>
    <w:rsid w:val="00EF56CA"/>
    <w:rsid w:val="00EF797A"/>
    <w:rsid w:val="00F02872"/>
    <w:rsid w:val="00F444EB"/>
    <w:rsid w:val="00F61993"/>
    <w:rsid w:val="00F62252"/>
    <w:rsid w:val="00F84104"/>
    <w:rsid w:val="00F95255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54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020543"/>
    <w:pPr>
      <w:spacing w:after="75"/>
      <w:outlineLvl w:val="0"/>
    </w:pPr>
    <w:rPr>
      <w:b/>
      <w:bCs/>
      <w:color w:val="006F94"/>
      <w:kern w:val="36"/>
      <w:sz w:val="34"/>
      <w:szCs w:val="34"/>
    </w:rPr>
  </w:style>
  <w:style w:type="paragraph" w:styleId="Nadpis2">
    <w:name w:val="heading 2"/>
    <w:basedOn w:val="Normln"/>
    <w:next w:val="Normln"/>
    <w:link w:val="Nadpis2Char"/>
    <w:qFormat/>
    <w:rsid w:val="000205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0543"/>
    <w:rPr>
      <w:rFonts w:ascii="Times New Roman" w:eastAsia="Times New Roman" w:hAnsi="Times New Roman" w:cs="Times New Roman"/>
      <w:b/>
      <w:bCs/>
      <w:color w:val="006F94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rsid w:val="0002054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rsid w:val="00020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05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20543"/>
  </w:style>
  <w:style w:type="paragraph" w:styleId="Textbubliny">
    <w:name w:val="Balloon Text"/>
    <w:basedOn w:val="Normln"/>
    <w:link w:val="TextbublinyChar"/>
    <w:semiHidden/>
    <w:rsid w:val="00020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20543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020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2054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020543"/>
    <w:rPr>
      <w:b/>
      <w:bCs/>
    </w:rPr>
  </w:style>
  <w:style w:type="character" w:styleId="Odkaznakoment">
    <w:name w:val="annotation reference"/>
    <w:semiHidden/>
    <w:rsid w:val="000205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205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05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05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SR">
    <w:name w:val="MDS ČR"/>
    <w:basedOn w:val="Normln"/>
    <w:link w:val="MDSRChar"/>
    <w:rsid w:val="00020543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Cs w:val="20"/>
    </w:rPr>
  </w:style>
  <w:style w:type="character" w:customStyle="1" w:styleId="MDSRChar">
    <w:name w:val="MDS ČR Char"/>
    <w:link w:val="MDSR"/>
    <w:locked/>
    <w:rsid w:val="000205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">
    <w:name w:val="Styl"/>
    <w:rsid w:val="000205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20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05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205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205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20543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20DE2"/>
    <w:pPr>
      <w:spacing w:before="100" w:beforeAutospacing="1" w:after="100" w:afterAutospacing="1"/>
    </w:pPr>
    <w:rPr>
      <w:rFonts w:eastAsia="Calibri"/>
    </w:rPr>
  </w:style>
  <w:style w:type="character" w:styleId="Zvraznn">
    <w:name w:val="Emphasis"/>
    <w:basedOn w:val="Standardnpsmoodstavce"/>
    <w:uiPriority w:val="20"/>
    <w:qFormat/>
    <w:rsid w:val="00720DE2"/>
    <w:rPr>
      <w:i/>
      <w:iCs/>
    </w:rPr>
  </w:style>
  <w:style w:type="paragraph" w:styleId="Revize">
    <w:name w:val="Revision"/>
    <w:hidden/>
    <w:uiPriority w:val="99"/>
    <w:semiHidden/>
    <w:rsid w:val="002A141D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4223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54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020543"/>
    <w:pPr>
      <w:spacing w:after="75"/>
      <w:outlineLvl w:val="0"/>
    </w:pPr>
    <w:rPr>
      <w:b/>
      <w:bCs/>
      <w:color w:val="006F94"/>
      <w:kern w:val="36"/>
      <w:sz w:val="34"/>
      <w:szCs w:val="34"/>
    </w:rPr>
  </w:style>
  <w:style w:type="paragraph" w:styleId="Nadpis2">
    <w:name w:val="heading 2"/>
    <w:basedOn w:val="Normln"/>
    <w:next w:val="Normln"/>
    <w:link w:val="Nadpis2Char"/>
    <w:qFormat/>
    <w:rsid w:val="000205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0543"/>
    <w:rPr>
      <w:rFonts w:ascii="Times New Roman" w:eastAsia="Times New Roman" w:hAnsi="Times New Roman" w:cs="Times New Roman"/>
      <w:b/>
      <w:bCs/>
      <w:color w:val="006F94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rsid w:val="0002054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rsid w:val="00020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05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20543"/>
  </w:style>
  <w:style w:type="paragraph" w:styleId="Textbubliny">
    <w:name w:val="Balloon Text"/>
    <w:basedOn w:val="Normln"/>
    <w:link w:val="TextbublinyChar"/>
    <w:semiHidden/>
    <w:rsid w:val="00020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20543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020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2054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020543"/>
    <w:rPr>
      <w:b/>
      <w:bCs/>
    </w:rPr>
  </w:style>
  <w:style w:type="character" w:styleId="Odkaznakoment">
    <w:name w:val="annotation reference"/>
    <w:semiHidden/>
    <w:rsid w:val="000205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205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05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05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SR">
    <w:name w:val="MDS ČR"/>
    <w:basedOn w:val="Normln"/>
    <w:link w:val="MDSRChar"/>
    <w:rsid w:val="00020543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Cs w:val="20"/>
    </w:rPr>
  </w:style>
  <w:style w:type="character" w:customStyle="1" w:styleId="MDSRChar">
    <w:name w:val="MDS ČR Char"/>
    <w:link w:val="MDSR"/>
    <w:locked/>
    <w:rsid w:val="000205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">
    <w:name w:val="Styl"/>
    <w:rsid w:val="000205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20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05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205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205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20543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20DE2"/>
    <w:pPr>
      <w:spacing w:before="100" w:beforeAutospacing="1" w:after="100" w:afterAutospacing="1"/>
    </w:pPr>
    <w:rPr>
      <w:rFonts w:eastAsia="Calibri"/>
    </w:rPr>
  </w:style>
  <w:style w:type="character" w:styleId="Zvraznn">
    <w:name w:val="Emphasis"/>
    <w:basedOn w:val="Standardnpsmoodstavce"/>
    <w:uiPriority w:val="20"/>
    <w:qFormat/>
    <w:rsid w:val="00720DE2"/>
    <w:rPr>
      <w:i/>
      <w:iCs/>
    </w:rPr>
  </w:style>
  <w:style w:type="paragraph" w:styleId="Revize">
    <w:name w:val="Revision"/>
    <w:hidden/>
    <w:uiPriority w:val="99"/>
    <w:semiHidden/>
    <w:rsid w:val="002A141D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4223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D362-FE70-4FC6-A2A1-5D32B24C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Michalčík Ondřej JUDr.</dc:creator>
  <cp:lastModifiedBy>Jakoubková Marie</cp:lastModifiedBy>
  <cp:revision>5</cp:revision>
  <cp:lastPrinted>2016-09-01T05:25:00Z</cp:lastPrinted>
  <dcterms:created xsi:type="dcterms:W3CDTF">2016-08-09T11:33:00Z</dcterms:created>
  <dcterms:modified xsi:type="dcterms:W3CDTF">2016-09-01T05:25:00Z</dcterms:modified>
</cp:coreProperties>
</file>