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5" w:rsidRDefault="00510CBE" w:rsidP="008A3675"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A1F9" wp14:editId="3E9FB66F">
                <wp:simplePos x="0" y="0"/>
                <wp:positionH relativeFrom="column">
                  <wp:posOffset>4005580</wp:posOffset>
                </wp:positionH>
                <wp:positionV relativeFrom="paragraph">
                  <wp:posOffset>-185420</wp:posOffset>
                </wp:positionV>
                <wp:extent cx="1628775" cy="42862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BE" w:rsidRPr="00510CBE" w:rsidRDefault="008B5407" w:rsidP="00510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</w:t>
                            </w:r>
                            <w:r w:rsidR="00510CBE" w:rsidRPr="00510CBE">
                              <w:rPr>
                                <w:rFonts w:ascii="Arial" w:hAnsi="Arial" w:cs="Arial"/>
                                <w:b/>
                              </w:rPr>
                              <w:t>K-</w:t>
                            </w:r>
                            <w:r w:rsidR="008A367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510CBE" w:rsidRPr="00510CBE">
                              <w:rPr>
                                <w:rFonts w:ascii="Arial" w:hAnsi="Arial" w:cs="Arial"/>
                                <w:b/>
                              </w:rPr>
                              <w:t>-201</w:t>
                            </w:r>
                            <w:r w:rsidR="008A367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0C6CD8">
                              <w:rPr>
                                <w:rFonts w:ascii="Arial" w:hAnsi="Arial" w:cs="Arial"/>
                                <w:b/>
                              </w:rPr>
                              <w:t>-56</w:t>
                            </w:r>
                            <w:bookmarkStart w:id="0" w:name="_GoBack"/>
                            <w:bookmarkEnd w:id="0"/>
                            <w:r w:rsidR="00510CBE" w:rsidRPr="00510CBE">
                              <w:rPr>
                                <w:rFonts w:ascii="Arial" w:hAnsi="Arial" w:cs="Arial"/>
                                <w:b/>
                              </w:rPr>
                              <w:t>, př.</w:t>
                            </w:r>
                            <w:r w:rsidR="00955E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10CBE" w:rsidRPr="00510CBE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:rsidR="00510CBE" w:rsidRPr="00510CBE" w:rsidRDefault="00510CBE" w:rsidP="00510C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BE">
                              <w:rPr>
                                <w:rFonts w:ascii="Arial" w:hAnsi="Arial" w:cs="Arial"/>
                                <w:b/>
                              </w:rPr>
                              <w:t>Počet 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531DBD">
                              <w:rPr>
                                <w:rFonts w:ascii="Arial" w:hAnsi="Arial" w:cs="Arial"/>
                                <w:b/>
                              </w:rPr>
                              <w:t xml:space="preserve">ran: </w:t>
                            </w:r>
                            <w:r w:rsidR="00A956DE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15.4pt;margin-top:-14.6pt;width:128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68kgIAAI8FAAAOAAAAZHJzL2Uyb0RvYy54bWysVM1uEzEQviPxDpbvdJOQpCHKpgqtipCq&#10;tqJFPTteO7GwPcZ2shveiOfgxRh7Nz+UXoq47I4938x4vvmZXTRGk63wQYEtaf+sR4mwHCplVyX9&#10;+nj9bkJJiMxWTIMVJd2JQC/mb9/MajcVA1iDroQn6MSGae1Kuo7RTYsi8LUwLJyBExaVErxhEY9+&#10;VVSe1ejd6GLQ642LGnzlPHARAt5etUo6z/6lFDzeSRlEJLqk+LaYvz5/l+lbzGdsuvLMrRXvnsH+&#10;4RWGKYtBD66uWGRk49VfroziHgLIeMbBFCCl4iLngNn0e8+yeVgzJ3IuSE5wB5rC/3PLb7f3nqgK&#10;a0eJZQZL9CiaCNtfP4kDLUg/UVS7MEXkg0NsbD5Ck+DdfcDLlHkjvUl/zImgHsneHQhGj4Qno/Fg&#10;cn4+ooSjbjiYjAej5KY4Wjsf4icBhiShpB4LmHll25sQW+gekoIF0Kq6VlrnQ2oacak92TIst475&#10;jej8D5S2pC7p+P2olx1bSOatZ22TG5HbpguXMm8zzFLcaZEw2n4REmnLib4Qm3Eu7CF+RieUxFCv&#10;Mezwx1e9xrjNAy1yZLDxYGyUBZ+zz3N2pKz6tqdMtniszUneSYzNsukqv4Rqhw3hoZ2q4Pi1wqrd&#10;sBDvmccxwh7A1RDv8CM1IOvQSZSswf946T7hsbtRS0mNY1nS8H3DvKBEf7bY9x/6w2Ga43wYjs4H&#10;ePCnmuWpxm7MJWArYG/j67KY8FHvRenBPOEGWaSoqGKWY+ySxr14GdtlgRuIi8Uig3ByHYs39sHx&#10;5DrRm3rysXli3nWNG7Hlb2E/wGz6rH9bbLK0sNhEkCo3dyK4ZbUjHqc+j0e3odJaOT1n1HGPzn8D&#10;AAD//wMAUEsDBBQABgAIAAAAIQBiUCrS4gAAAAoBAAAPAAAAZHJzL2Rvd25yZXYueG1sTI9LT8Mw&#10;EITvSPwHa5G4oNahFm0I2VQI8ZB6o+Ehbm68JBHxOordJPx7zAmOoxnNfJNvZ9uJkQbfOka4XCYg&#10;iCtnWq4RXsqHRQrCB81Gd44J4Zs8bIvTk1xnxk38TOM+1CKWsM80QhNCn0npq4as9kvXE0fv0w1W&#10;hyiHWppBT7HcdnKVJGtpdctxodE93TVUfe2PFuHjon7f+fnxdVJXqr9/GsvNmykRz8/m2xsQgebw&#10;F4Zf/IgORWQ6uCMbLzqEtUoiekBYrK5XIGIiTTcKxAFBpQpkkcv/F4ofAAAA//8DAFBLAQItABQA&#10;BgAIAAAAIQC2gziS/gAAAOEBAAATAAAAAAAAAAAAAAAAAAAAAABbQ29udGVudF9UeXBlc10ueG1s&#10;UEsBAi0AFAAGAAgAAAAhADj9If/WAAAAlAEAAAsAAAAAAAAAAAAAAAAALwEAAF9yZWxzLy5yZWxz&#10;UEsBAi0AFAAGAAgAAAAhAM9eDrySAgAAjwUAAA4AAAAAAAAAAAAAAAAALgIAAGRycy9lMm9Eb2Mu&#10;eG1sUEsBAi0AFAAGAAgAAAAhAGJQKtLiAAAACgEAAA8AAAAAAAAAAAAAAAAA7AQAAGRycy9kb3du&#10;cmV2LnhtbFBLBQYAAAAABAAEAPMAAAD7BQAAAAA=&#10;" fillcolor="white [3201]" stroked="f" strokeweight=".5pt">
                <v:textbox>
                  <w:txbxContent>
                    <w:p w:rsidR="00510CBE" w:rsidRPr="00510CBE" w:rsidRDefault="008B5407" w:rsidP="00510C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</w:t>
                      </w:r>
                      <w:r w:rsidR="00510CBE" w:rsidRPr="00510CBE">
                        <w:rPr>
                          <w:rFonts w:ascii="Arial" w:hAnsi="Arial" w:cs="Arial"/>
                          <w:b/>
                        </w:rPr>
                        <w:t>K-</w:t>
                      </w:r>
                      <w:r w:rsidR="008A3675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510CBE" w:rsidRPr="00510CBE">
                        <w:rPr>
                          <w:rFonts w:ascii="Arial" w:hAnsi="Arial" w:cs="Arial"/>
                          <w:b/>
                        </w:rPr>
                        <w:t>-201</w:t>
                      </w:r>
                      <w:r w:rsidR="008A3675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0C6CD8">
                        <w:rPr>
                          <w:rFonts w:ascii="Arial" w:hAnsi="Arial" w:cs="Arial"/>
                          <w:b/>
                        </w:rPr>
                        <w:t>-56</w:t>
                      </w:r>
                      <w:bookmarkStart w:id="1" w:name="_GoBack"/>
                      <w:bookmarkEnd w:id="1"/>
                      <w:r w:rsidR="00510CBE" w:rsidRPr="00510CBE">
                        <w:rPr>
                          <w:rFonts w:ascii="Arial" w:hAnsi="Arial" w:cs="Arial"/>
                          <w:b/>
                        </w:rPr>
                        <w:t>, př.</w:t>
                      </w:r>
                      <w:r w:rsidR="00955E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10CBE" w:rsidRPr="00510CBE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  <w:p w:rsidR="00510CBE" w:rsidRPr="00510CBE" w:rsidRDefault="00510CBE" w:rsidP="00510CBE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10CBE">
                        <w:rPr>
                          <w:rFonts w:ascii="Arial" w:hAnsi="Arial" w:cs="Arial"/>
                          <w:b/>
                        </w:rPr>
                        <w:t>Počet s</w:t>
                      </w: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531DBD">
                        <w:rPr>
                          <w:rFonts w:ascii="Arial" w:hAnsi="Arial" w:cs="Arial"/>
                          <w:b/>
                        </w:rPr>
                        <w:t xml:space="preserve">ran: </w:t>
                      </w:r>
                      <w:r w:rsidR="00A956DE"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351305271"/>
    </w:p>
    <w:p w:rsidR="008A3675" w:rsidRPr="008A3675" w:rsidRDefault="008A3675" w:rsidP="008A3675">
      <w:pPr>
        <w:rPr>
          <w:rFonts w:ascii="Arial" w:hAnsi="Arial" w:cs="Arial"/>
          <w:b/>
        </w:rPr>
      </w:pPr>
      <w:r w:rsidRPr="008A3675">
        <w:rPr>
          <w:rFonts w:ascii="Arial" w:hAnsi="Arial" w:cs="Arial"/>
          <w:b/>
        </w:rPr>
        <w:t>Výzkumné a inovační strategie pro inteligentní specializaci</w:t>
      </w:r>
      <w:bookmarkEnd w:id="2"/>
      <w:r w:rsidRPr="008A3675">
        <w:rPr>
          <w:rFonts w:ascii="Arial" w:hAnsi="Arial" w:cs="Arial"/>
          <w:b/>
        </w:rPr>
        <w:t xml:space="preserve"> </w:t>
      </w:r>
    </w:p>
    <w:p w:rsidR="008A3675" w:rsidRPr="00CF026D" w:rsidRDefault="008A3675" w:rsidP="008A3675">
      <w:pPr>
        <w:pStyle w:val="Zkladntext"/>
        <w:shd w:val="clear" w:color="auto" w:fill="FFFFFF"/>
        <w:jc w:val="both"/>
        <w:rPr>
          <w:rFonts w:ascii="Arial" w:hAnsi="Arial" w:cs="Arial"/>
        </w:rPr>
      </w:pPr>
      <w:r w:rsidRPr="00CF026D">
        <w:rPr>
          <w:rFonts w:ascii="Arial" w:hAnsi="Arial" w:cs="Arial"/>
        </w:rPr>
        <w:t xml:space="preserve">Evropská komise vyžaduje na členských státech EU a jejich regionech přípravu výzkumných a inovačních strategií založených na inteligentní specializaci (tzv. „RIS3“ nebo „S3“ strategií, jako tzv. ex-ante kondicionality pro schválení operačních programů na podporu investic do výzkumu, vývoje, inovací a informačních technologií z prostředků Strukturálních fondů EU pro programovací období 2014 - 2020. RIS3 Strategii pro ČR na národní úrovni budou doplňovat tzv. regionální RIS3 strategie zpracované na regionální (krajské) úrovni. </w:t>
      </w:r>
    </w:p>
    <w:p w:rsidR="00CF026D" w:rsidRPr="008A3675" w:rsidRDefault="00CF026D" w:rsidP="00CF026D">
      <w:pPr>
        <w:spacing w:after="60"/>
        <w:jc w:val="both"/>
        <w:rPr>
          <w:rFonts w:ascii="Arial" w:hAnsi="Arial" w:cs="Arial"/>
        </w:rPr>
      </w:pPr>
      <w:r w:rsidRPr="008A3675">
        <w:rPr>
          <w:rFonts w:ascii="Arial" w:hAnsi="Arial" w:cs="Arial"/>
        </w:rPr>
        <w:t>Ex-ante podmínka strategie RIS3 vyžaduje od členských států a regionů EU, aby identifikovaly znalostní specializace, které nejlépe vyhovují inovačnímu potenciálu, na základě jejich předností a schopností. To je třeba provést pomocí procesu „podnikatelského objevování“, tj. zapojení klíčových inovačních zainteresovaných subjektů a podniků. Inteligentní specializace tak není strategií prosazovanou shora, ale strategii, která zapojuje podniky, výzkumná centra a univerzity do společného úsilí při identifikování nejslibnějších oblastí specializace daného členského státu či regionu, ale také jeho slabin, které brání inovaci.</w:t>
      </w:r>
    </w:p>
    <w:p w:rsidR="00CF026D" w:rsidRPr="008A3675" w:rsidRDefault="00CF026D" w:rsidP="00CF026D">
      <w:pPr>
        <w:spacing w:after="60"/>
        <w:jc w:val="both"/>
        <w:rPr>
          <w:rFonts w:ascii="Arial" w:hAnsi="Arial" w:cs="Arial"/>
        </w:rPr>
      </w:pPr>
      <w:r w:rsidRPr="008A3675">
        <w:rPr>
          <w:rFonts w:ascii="Arial" w:hAnsi="Arial" w:cs="Arial"/>
        </w:rPr>
        <w:t>Národní a regionální úřady potom musí sepsat dokument nastiňující navrhovanou strategii pro příslušnou zemi či region a především plánované veřejné a soukromé investice, včetně strukturálních fondů, do výzkumu, vývoje technologií a inovací. Tato strategie by neměla stavět pouze na regionální vědecké excelenci a/nebo ji mít za cíl, ale měla by podporovat také praktické (netechnologické) inovace a obsahovat přijímání a šíření znalostí a inovace.</w:t>
      </w:r>
    </w:p>
    <w:p w:rsidR="008A3675" w:rsidRPr="00CF026D" w:rsidRDefault="008A3675" w:rsidP="008A3675">
      <w:pPr>
        <w:pStyle w:val="Zkladntext"/>
        <w:shd w:val="clear" w:color="auto" w:fill="FFFFFF"/>
        <w:jc w:val="both"/>
        <w:rPr>
          <w:rFonts w:ascii="Arial" w:hAnsi="Arial" w:cs="Arial"/>
        </w:rPr>
      </w:pPr>
      <w:r w:rsidRPr="00CF026D">
        <w:rPr>
          <w:rFonts w:ascii="Arial" w:hAnsi="Arial" w:cs="Arial"/>
        </w:rPr>
        <w:t xml:space="preserve">Veškeré aktivity v souvislosti s touto problematikou budou v jednotlivých krajích koordinovány krajskými „S3 manažery“. V jednotlivých krajích by měly být ustaveny krajské RIS3 platformy sdružující klíčové regionální aktéry z podnikatelské sféry, akademických a VaV institucí, státní správy i neziskových organizací, přičemž hlavním úkolem těchto krajských platforem by mělo být zmapování silných stránek regionu a identifikace nových příležitostí a možností spolupráce za účelem zlepšování pozice kraje (potažmo celé ČR). </w:t>
      </w:r>
    </w:p>
    <w:p w:rsidR="008A3675" w:rsidRDefault="008A3675" w:rsidP="008A3675">
      <w:pPr>
        <w:jc w:val="both"/>
        <w:rPr>
          <w:rFonts w:ascii="Arial" w:hAnsi="Arial" w:cs="Arial"/>
          <w:bCs/>
        </w:rPr>
      </w:pPr>
      <w:r w:rsidRPr="00CF026D">
        <w:rPr>
          <w:rFonts w:ascii="Arial" w:hAnsi="Arial" w:cs="Arial"/>
          <w:bCs/>
        </w:rPr>
        <w:t xml:space="preserve">V podmínkách </w:t>
      </w:r>
      <w:r w:rsidR="00CF026D">
        <w:rPr>
          <w:rFonts w:ascii="Arial" w:hAnsi="Arial" w:cs="Arial"/>
          <w:bCs/>
        </w:rPr>
        <w:t>K</w:t>
      </w:r>
      <w:r w:rsidRPr="00CF026D">
        <w:rPr>
          <w:rFonts w:ascii="Arial" w:hAnsi="Arial" w:cs="Arial"/>
          <w:bCs/>
        </w:rPr>
        <w:t xml:space="preserve">raje Vysočina toto bude znamenat </w:t>
      </w:r>
      <w:r w:rsidR="00CF026D" w:rsidRPr="00CF026D">
        <w:rPr>
          <w:rFonts w:ascii="Arial" w:hAnsi="Arial" w:cs="Arial"/>
          <w:bCs/>
        </w:rPr>
        <w:t>do konce roku</w:t>
      </w:r>
      <w:r w:rsidR="00CF026D">
        <w:rPr>
          <w:rFonts w:ascii="Arial" w:hAnsi="Arial" w:cs="Arial"/>
          <w:bCs/>
        </w:rPr>
        <w:t xml:space="preserve"> 2013</w:t>
      </w:r>
      <w:r w:rsidR="00CF026D" w:rsidRPr="00CF026D">
        <w:rPr>
          <w:rFonts w:ascii="Arial" w:hAnsi="Arial" w:cs="Arial"/>
          <w:bCs/>
        </w:rPr>
        <w:t xml:space="preserve"> upravit</w:t>
      </w:r>
      <w:r w:rsidR="00251BAE">
        <w:rPr>
          <w:rFonts w:ascii="Arial" w:hAnsi="Arial" w:cs="Arial"/>
          <w:bCs/>
        </w:rPr>
        <w:t>, rozšířit či</w:t>
      </w:r>
      <w:r w:rsidR="00CF026D" w:rsidRPr="00CF026D">
        <w:rPr>
          <w:rFonts w:ascii="Arial" w:hAnsi="Arial" w:cs="Arial"/>
          <w:bCs/>
        </w:rPr>
        <w:t xml:space="preserve"> doplnit připravovanou Regionální inovační strategii Kraje Vysočina, </w:t>
      </w:r>
      <w:r w:rsidR="00CF026D">
        <w:rPr>
          <w:rFonts w:ascii="Arial" w:hAnsi="Arial" w:cs="Arial"/>
          <w:bCs/>
        </w:rPr>
        <w:t xml:space="preserve">která </w:t>
      </w:r>
      <w:r w:rsidR="00CF026D" w:rsidRPr="00CF026D">
        <w:rPr>
          <w:rFonts w:ascii="Arial" w:hAnsi="Arial" w:cs="Arial"/>
          <w:bCs/>
        </w:rPr>
        <w:t>nyní prochází procesem SEA.</w:t>
      </w:r>
    </w:p>
    <w:p w:rsidR="00447ED2" w:rsidRPr="00447ED2" w:rsidRDefault="00447ED2" w:rsidP="00447ED2">
      <w:pPr>
        <w:pStyle w:val="Nadpis2"/>
        <w:spacing w:after="200" w:line="240" w:lineRule="auto"/>
        <w:rPr>
          <w:rFonts w:ascii="Arial" w:hAnsi="Arial" w:cs="Arial"/>
          <w:color w:val="auto"/>
          <w:sz w:val="22"/>
          <w:szCs w:val="22"/>
        </w:rPr>
      </w:pPr>
      <w:bookmarkStart w:id="3" w:name="_Toc351305281"/>
      <w:r w:rsidRPr="00447ED2">
        <w:rPr>
          <w:rFonts w:ascii="Arial" w:hAnsi="Arial" w:cs="Arial"/>
          <w:color w:val="auto"/>
          <w:sz w:val="22"/>
          <w:szCs w:val="22"/>
        </w:rPr>
        <w:t>Příprava budoucích operačních programů 2014 – 2020</w:t>
      </w:r>
      <w:bookmarkEnd w:id="3"/>
      <w:r w:rsidRPr="00447E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47ED2" w:rsidRPr="00447ED2" w:rsidRDefault="00447ED2" w:rsidP="00496F3A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 xml:space="preserve">Na základě </w:t>
      </w:r>
      <w:r w:rsidRPr="00447ED2">
        <w:rPr>
          <w:rFonts w:ascii="Arial" w:hAnsi="Arial" w:cs="Arial"/>
          <w:bCs/>
        </w:rPr>
        <w:t xml:space="preserve">východisek pro tvorbu </w:t>
      </w:r>
      <w:r w:rsidR="00496F3A">
        <w:rPr>
          <w:rFonts w:ascii="Arial" w:hAnsi="Arial" w:cs="Arial"/>
          <w:bCs/>
        </w:rPr>
        <w:t>operačních programů (OP)</w:t>
      </w:r>
      <w:r w:rsidRPr="00447ED2">
        <w:rPr>
          <w:rFonts w:ascii="Arial" w:hAnsi="Arial" w:cs="Arial"/>
          <w:bCs/>
        </w:rPr>
        <w:t xml:space="preserve">, rozpracování </w:t>
      </w:r>
      <w:r w:rsidR="00496F3A">
        <w:rPr>
          <w:rFonts w:ascii="Arial" w:hAnsi="Arial" w:cs="Arial"/>
          <w:bCs/>
        </w:rPr>
        <w:t>národních rozvojových priorit</w:t>
      </w:r>
      <w:r w:rsidRPr="00447ED2">
        <w:rPr>
          <w:rFonts w:ascii="Arial" w:hAnsi="Arial" w:cs="Arial"/>
          <w:bCs/>
        </w:rPr>
        <w:t xml:space="preserve"> a dostupných analytických a strategických podkladů </w:t>
      </w:r>
      <w:r w:rsidR="00496F3A">
        <w:rPr>
          <w:rFonts w:ascii="Arial" w:hAnsi="Arial" w:cs="Arial"/>
          <w:bCs/>
        </w:rPr>
        <w:t>byly zpracovány řídícími orgány (tj. věcně příslušnými ministerstvy) první verze</w:t>
      </w:r>
      <w:r w:rsidRPr="00447ED2">
        <w:rPr>
          <w:rFonts w:ascii="Arial" w:hAnsi="Arial" w:cs="Arial"/>
          <w:bCs/>
        </w:rPr>
        <w:t xml:space="preserve"> </w:t>
      </w:r>
      <w:r w:rsidR="00496F3A">
        <w:rPr>
          <w:rFonts w:ascii="Arial" w:hAnsi="Arial" w:cs="Arial"/>
          <w:bCs/>
        </w:rPr>
        <w:t>operačních programů</w:t>
      </w:r>
      <w:r w:rsidRPr="00447ED2">
        <w:rPr>
          <w:rFonts w:ascii="Arial" w:hAnsi="Arial" w:cs="Arial"/>
          <w:bCs/>
        </w:rPr>
        <w:t xml:space="preserve"> pro realizaci budoucí politiky soudržnosti pro programové období 2014–2020.</w:t>
      </w:r>
      <w:r w:rsidRPr="00447ED2">
        <w:rPr>
          <w:rFonts w:ascii="Arial" w:hAnsi="Arial" w:cs="Arial"/>
        </w:rPr>
        <w:t xml:space="preserve"> </w:t>
      </w:r>
      <w:r w:rsidR="00496F3A">
        <w:rPr>
          <w:rFonts w:ascii="Arial" w:hAnsi="Arial" w:cs="Arial"/>
        </w:rPr>
        <w:t>Níže je uveden indikativní obsah</w:t>
      </w:r>
      <w:r w:rsidR="00B263D9">
        <w:rPr>
          <w:rFonts w:ascii="Arial" w:hAnsi="Arial" w:cs="Arial"/>
        </w:rPr>
        <w:t xml:space="preserve"> (</w:t>
      </w:r>
      <w:r w:rsidR="00B263D9" w:rsidRPr="00B263D9">
        <w:rPr>
          <w:rFonts w:ascii="Arial" w:hAnsi="Arial" w:cs="Arial"/>
          <w:i/>
        </w:rPr>
        <w:t>zejména na základě Dohody o partnerství</w:t>
      </w:r>
      <w:r w:rsidR="00B263D9">
        <w:rPr>
          <w:rFonts w:ascii="Arial" w:hAnsi="Arial" w:cs="Arial"/>
        </w:rPr>
        <w:t>)</w:t>
      </w:r>
      <w:r w:rsidR="00496F3A">
        <w:rPr>
          <w:rFonts w:ascii="Arial" w:hAnsi="Arial" w:cs="Arial"/>
        </w:rPr>
        <w:t xml:space="preserve"> připravovaných OP, kdy programy </w:t>
      </w:r>
      <w:r w:rsidR="007862EC">
        <w:rPr>
          <w:rFonts w:ascii="Arial" w:hAnsi="Arial" w:cs="Arial"/>
        </w:rPr>
        <w:t>budou</w:t>
      </w:r>
      <w:r w:rsidR="00496F3A">
        <w:rPr>
          <w:rFonts w:ascii="Arial" w:hAnsi="Arial" w:cs="Arial"/>
        </w:rPr>
        <w:t xml:space="preserve"> dále upřesňovány,</w:t>
      </w:r>
      <w:r w:rsidR="00B263D9">
        <w:rPr>
          <w:rFonts w:ascii="Arial" w:hAnsi="Arial" w:cs="Arial"/>
        </w:rPr>
        <w:t xml:space="preserve"> zejména v návaznosti na alokace,</w:t>
      </w:r>
      <w:r w:rsidR="00496F3A">
        <w:rPr>
          <w:rFonts w:ascii="Arial" w:hAnsi="Arial" w:cs="Arial"/>
        </w:rPr>
        <w:t xml:space="preserve"> dochází </w:t>
      </w:r>
      <w:r w:rsidR="00B263D9">
        <w:rPr>
          <w:rFonts w:ascii="Arial" w:hAnsi="Arial" w:cs="Arial"/>
        </w:rPr>
        <w:t xml:space="preserve">postupně </w:t>
      </w:r>
      <w:r w:rsidR="00496F3A">
        <w:rPr>
          <w:rFonts w:ascii="Arial" w:hAnsi="Arial" w:cs="Arial"/>
        </w:rPr>
        <w:t>k vyjednávání překryvů</w:t>
      </w:r>
      <w:r w:rsidR="00B263D9">
        <w:rPr>
          <w:rFonts w:ascii="Arial" w:hAnsi="Arial" w:cs="Arial"/>
        </w:rPr>
        <w:t>, bude doplněna implementační struktura, nastavení indikátorů</w:t>
      </w:r>
      <w:r w:rsidR="00496F3A">
        <w:rPr>
          <w:rFonts w:ascii="Arial" w:hAnsi="Arial" w:cs="Arial"/>
        </w:rPr>
        <w:t xml:space="preserve"> apod.  Dle předpokladu by </w:t>
      </w:r>
      <w:r w:rsidR="00B263D9">
        <w:rPr>
          <w:rFonts w:ascii="Arial" w:hAnsi="Arial" w:cs="Arial"/>
        </w:rPr>
        <w:t xml:space="preserve">další verze OP měly vzniknout do konce června 2013, </w:t>
      </w:r>
      <w:r w:rsidR="00496F3A">
        <w:rPr>
          <w:rFonts w:ascii="Arial" w:hAnsi="Arial" w:cs="Arial"/>
        </w:rPr>
        <w:t xml:space="preserve">finální verze programů </w:t>
      </w:r>
      <w:r w:rsidR="006D3CDD">
        <w:rPr>
          <w:rFonts w:ascii="Arial" w:hAnsi="Arial" w:cs="Arial"/>
        </w:rPr>
        <w:t xml:space="preserve">by </w:t>
      </w:r>
      <w:r w:rsidR="00496F3A">
        <w:rPr>
          <w:rFonts w:ascii="Arial" w:hAnsi="Arial" w:cs="Arial"/>
        </w:rPr>
        <w:t>měly vzniknout během léta 2013, v </w:t>
      </w:r>
      <w:r w:rsidR="00B263D9">
        <w:rPr>
          <w:rFonts w:ascii="Arial" w:hAnsi="Arial" w:cs="Arial"/>
        </w:rPr>
        <w:t>listopadu</w:t>
      </w:r>
      <w:r w:rsidR="00496F3A">
        <w:rPr>
          <w:rFonts w:ascii="Arial" w:hAnsi="Arial" w:cs="Arial"/>
        </w:rPr>
        <w:t xml:space="preserve"> by měly být projednány Vládou ČR a následně i Evropskou komisí.</w:t>
      </w:r>
    </w:p>
    <w:p w:rsidR="00447ED2" w:rsidRPr="00447ED2" w:rsidRDefault="00447ED2" w:rsidP="00496F3A">
      <w:pPr>
        <w:spacing w:after="0"/>
        <w:jc w:val="both"/>
        <w:rPr>
          <w:rFonts w:ascii="Arial" w:eastAsia="Arial Unicode MS" w:hAnsi="Arial" w:cs="Arial"/>
          <w:u w:color="000000"/>
        </w:rPr>
      </w:pPr>
    </w:p>
    <w:p w:rsidR="00447ED2" w:rsidRPr="00496F3A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496F3A">
        <w:rPr>
          <w:rFonts w:ascii="Arial" w:hAnsi="Arial" w:cs="Arial"/>
          <w:b w:val="0"/>
          <w:color w:val="auto"/>
          <w:u w:val="single"/>
        </w:rPr>
        <w:lastRenderedPageBreak/>
        <w:t>OP Podnikání a inovace pro konkurenceschopnost</w:t>
      </w:r>
      <w:r w:rsidR="00496F3A" w:rsidRPr="00496F3A">
        <w:rPr>
          <w:rFonts w:ascii="Arial" w:hAnsi="Arial" w:cs="Arial"/>
          <w:b w:val="0"/>
          <w:color w:val="auto"/>
          <w:u w:val="single"/>
        </w:rPr>
        <w:t>:</w:t>
      </w:r>
      <w:r w:rsidRPr="00496F3A">
        <w:rPr>
          <w:rFonts w:ascii="Arial" w:hAnsi="Arial" w:cs="Arial"/>
          <w:b w:val="0"/>
          <w:color w:val="auto"/>
          <w:u w:val="single"/>
        </w:rPr>
        <w:t xml:space="preserve"> </w:t>
      </w:r>
    </w:p>
    <w:p w:rsidR="00447ED2" w:rsidRPr="00447ED2" w:rsidRDefault="007862EC" w:rsidP="00447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47ED2" w:rsidRPr="00447ED2">
        <w:rPr>
          <w:rFonts w:ascii="Arial" w:hAnsi="Arial" w:cs="Arial"/>
        </w:rPr>
        <w:t>ozvoj podnikání založený na podpoře inovací a zaměřený na rozvoj výzkumných a vývojových kapacit v podnikatelské sféře, rozvoj vědeckotechnických parků, podnikatelských inkubátorů a jejich služeb, podporu dalších transferů znalostí a technologií, spolupráci veřejného, vědeckovýzkumného a soukromého sektoru (např. služby vyhledávání vhodných existujících technologií, mobilita pracovníků mezi sektory), rozvoj klastrů, zavádění inovací v podnicích, technologický foresight a finanční nástroje pro inovační podnikání.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Rozvoj infrastruktury a služeb pro podnikání ve znalostní ekonomice zaměřený na rozvoj infrastruktury pro podnikání, podporu rozvoje zavádění nových technologií, finanční nástroje pro zakládání a rozvoj podniků, internacionalizaci podnikání, poradenské služby pro podnikání založené na znalostech, podporu technického vzdělávání a speciálních školení a poskytování ICT služeb pro malé a střední podniky.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Udržitelné hospodaření s energií, podpora obnovitelných zdrojů energie a inovací v energetice zaměřené na podporu opatření na úspory energie, podporu rozvoje přenosových a distribučních soustav a tepelně rozvodných zařízení, podporu efektivního využívání obnovitelných zdrojů, podporu výzkumu, vývoj a inovací v energetice a podporu vyššího využívání druhotných surovin.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Rozvoj sítí pro vysokorychlostní internet zaměřený na vytvoření registru pasivní infrastruktury, rozvoj infrastruktury pro vysokorychlostní přístup k internetu a rozvoj služeb elektronických komunikací (v podnikové sféře).</w:t>
      </w:r>
    </w:p>
    <w:p w:rsidR="00447ED2" w:rsidRPr="00447ED2" w:rsidRDefault="00447ED2" w:rsidP="00447ED2">
      <w:pPr>
        <w:spacing w:after="0"/>
        <w:rPr>
          <w:rFonts w:ascii="Arial" w:hAnsi="Arial" w:cs="Arial"/>
        </w:rPr>
      </w:pPr>
    </w:p>
    <w:p w:rsidR="00447ED2" w:rsidRPr="00496F3A" w:rsidRDefault="00496F3A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496F3A">
        <w:rPr>
          <w:rFonts w:ascii="Arial" w:hAnsi="Arial" w:cs="Arial"/>
          <w:b w:val="0"/>
          <w:color w:val="auto"/>
          <w:u w:val="single"/>
        </w:rPr>
        <w:t>OP Výzkum, vývoj a vzdělávání: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Rozvoj výzkumné a inovační infrastruktury zaměřený zejména na podporu pořízení špičkového přístrojového vybavení a technologický upgrade stávajícího vybavení, pořízení vybavení a technologií pro potřeby aplikovaného výzkumu, koncentraci a rozvoj kvalifikovaných lidských zdrojů ve výzkumu a vývoji (získání a udržení perspektivních výzkumných pracovníků, podpora mezinárodní a intersektorální mobility), společné výzkumné a vzdělávací aktivity výzkumné a firemní sféry, rozvoj informačního zázemí a informační infrastruktury a stimulaci zapojení výzkumných center a týmů do programu Horizon 2020 a špičkové mezinárodní spolupráce.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transferu znalostí, komercializace výsledků výzkumu a vývoje a jejich transformace do konkurenční výhody firem. V tomto směru je stěžejním faktorem podpora rozvoje spolupráce mezi výzkumnými centry, vysokými školami a aplikační sférou se zaměřením na podporu dlouhodobých aplikovaných výzkumných programů, navýšení podílu aplikační sféry na výuce na vysokých školách, podporu programů/projektů intersektorální mobility, posílení kvality služeb center pro transfer znalostí a technologií (služby pro ochranu a nakládání s duševním vlastnictvím, včetně financování předkomerční fáze slibných projektů, poradenské služby, vyhledávání vhodných partnerů aj.), podpora inkubátorů a akcelerátorů pří výzkumných centrech a univerzitách, zakládání a rozvoj spin-off firem, a podpora pre-seed schémat. Podpora přípravy a realizace aktivit v rámci strategií inteligentní specializace na regionální úrovni.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 xml:space="preserve">Zvyšování kvality vzdělávání – zlepšení kvality a dostupnosti předškolní přípravy, včetně zvláštního zřetele na znevýhodněné a vyloučené skupiny, zvýšení kvality počátečního i dalšího vzdělávání (dokončení standardů vzdělávání na jednotlivých stupních vzdělávání, dokončení systémů hodnocení škol a jejich monitoring, zlepšení infrastruktury a vybavení vzdělávacích zařízení, zlepšení kvality profesního rozvoje pedagogických pracovníků a pedagogického řízení, posílení mobility v rámci studia i profesních stáží, zapojování širokého partnerství do správy a strategií škol (rodiče, samospráva, firemní sféra), zkvalitňování </w:t>
      </w:r>
      <w:r w:rsidRPr="00447ED2">
        <w:rPr>
          <w:rFonts w:ascii="Arial" w:hAnsi="Arial" w:cs="Arial"/>
        </w:rPr>
        <w:lastRenderedPageBreak/>
        <w:t>vzdělávacích programů s důrazem na znalostní ekonomiku, jazykové vybavení a využití ICT.)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rozvoje lidských zdrojů pro znalostní ekonomiku – cílený rozvoj kompetencí a nadání žáků a studentů ve spolupráci škol, rodičů, výzkumných institucí a zaměstnavatelů na všech stupních vzdělávacího systému, podpora nadaných žáků a talentů, speciální podpůrné programy pro znevýhodněné skupiny. Propojení vzdělávacího systému s národním výzkumným a inovačním systémem a produkcí kvalitních lidských zdrojů pro jeho potřebu. Rozvoj klíčových gramotností, znalostí a dovedností - výrazné zvýšení matematické, čtenářské, jazykové a IT gramotnosti žáků a studentů. Rozvoj a popularizace technického a přírodovědného vzdělávání.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Zvyšování adaptability absolventů všech typů škol a jejich uplatnitelnosti na trhu práce prostřednictvím rozvoje strategické spolupráce škol a aktérů trhu práce, inovací vzdělávacích programů za účasti odborníků z praxe, podpory vytváření strategických partnerství v regionech, praktického vyučování na pracovištích zaměstnavatelů či zavádění prvků duálního vzdělávání. Průprava absolventů k podnikavosti, inovativnímu myšlení, flexibilitě a kreativitě. Rozvoj excelence na vysokých školách a rozvoj lidských zdrojů potřebných pro její dosažení. Diverzifikace systému vysokého školství. Rozvoj mezinárodní spolupráce a mobility na vysokých školách.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Systémová podpora celoživotního učení, zvyšování dostupnosti a kvality nabídky dalšího profesního vzdělávání v návaznosti na potřeby trhu práce.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Předcházení vzniku sociálních handicapů a předčasnému ukončování vzdělávání v jejich důsledku. Vytváření předpokladů pro zvýšení školní úspěšnosti znevýhodněných dětí, prodloužení jejich vzdělávací dráhy a následné získání kvalifikace.</w:t>
      </w:r>
    </w:p>
    <w:p w:rsidR="00447ED2" w:rsidRPr="00447ED2" w:rsidRDefault="00447ED2" w:rsidP="00447ED2">
      <w:pPr>
        <w:spacing w:after="0"/>
        <w:jc w:val="both"/>
        <w:rPr>
          <w:rFonts w:ascii="Arial" w:eastAsia="Arial Unicode MS" w:hAnsi="Arial" w:cs="Arial"/>
          <w:u w:color="000000"/>
        </w:rPr>
      </w:pPr>
    </w:p>
    <w:p w:rsidR="00447ED2" w:rsidRPr="006D3CDD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6D3CDD">
        <w:rPr>
          <w:rFonts w:ascii="Arial" w:hAnsi="Arial" w:cs="Arial"/>
          <w:b w:val="0"/>
          <w:color w:val="auto"/>
          <w:u w:val="single"/>
        </w:rPr>
        <w:t>OP Doprava: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Výstavba, modernizace, interoperability a nové technologie železniční infrastruktury hlavní sítě TEN-T, globální sítě TEN-T a mimo síť TEN-T.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Výstavba, modernizace, ITS a nové technologie silniční infrastruktury hlavní sítě TEN-T a globální sítě TEN-T. Podpora rozvoje sítě napájecích stanic alternativních energií na silniční síti. Silnice a dálnice mimo síť TEN-T ve správě státu, silnice ve správě samosprávy, komunikace pro nemotorovou dopravu.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Výstavba a modernizace vnitrozemských vodních cest v hlavní síti TEN-T. Infrastruktura vnitrozemských vodních cest mimo síť TEN-T.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Modernizace letišť hlavní sítě TEN-T a globální sítě TEN-T. Podpora letecké infrastruktury mimo síť TEN-T.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Infrastruktura pro multimodální dopravu a její podpora.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Infrastruktura drážních systémů městské a příměstské dopravy. Systémy pro city-logistiku. Systémy řízení městského silničního provozu.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nízkouhlíkových dopravních systémů (zejm. ekologicky čistý dopravní park - podpora modernizace vozového parku veřejné hromadné dopravy, podpora modernizace a rozvoje parku intermodálních přepravních jednotek).</w:t>
      </w:r>
    </w:p>
    <w:p w:rsidR="00447ED2" w:rsidRPr="00447ED2" w:rsidRDefault="00447ED2" w:rsidP="00447ED2">
      <w:pPr>
        <w:spacing w:after="0"/>
        <w:rPr>
          <w:rFonts w:ascii="Arial" w:hAnsi="Arial" w:cs="Arial"/>
          <w:iCs/>
          <w:u w:color="000000"/>
        </w:rPr>
      </w:pPr>
    </w:p>
    <w:p w:rsidR="00447ED2" w:rsidRPr="006D3CDD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6D3CDD">
        <w:rPr>
          <w:rFonts w:ascii="Arial" w:hAnsi="Arial" w:cs="Arial"/>
          <w:b w:val="0"/>
          <w:color w:val="auto"/>
          <w:u w:val="single"/>
        </w:rPr>
        <w:t>OP Životní prostředí: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 xml:space="preserve">V ochraně ovzduší budou opatření cílena na snižování emisí se zaměřením na náhradu spalovacích zdrojů ve stávajících objektech a k podpoře energetických úspor a úsporného vytápění ve veřejných budovách. Další podporovaná opatření budou zaměřena na: Pořízení nízkoemisního spalovacího zdroje a rekonstrukce spalovacích zdrojů pro snížení nebo instalace dodatečných zařízení pro záchyt emisí oxidů dusíku a síry nebo tuhých </w:t>
      </w:r>
      <w:r w:rsidRPr="00447ED2">
        <w:rPr>
          <w:rFonts w:ascii="Arial" w:hAnsi="Arial" w:cs="Arial"/>
        </w:rPr>
        <w:lastRenderedPageBreak/>
        <w:t>znečišťujících látek. Rekonstrukce a úpravy velkých nespalovacích stacionárních zdrojů za účelem snížení nebo instalace dodatečných zařízení pro záchyt emisí oxidů dusíku nebo prachových částic a současně zvýšení stávajících nebo vytvoření nových kapacit na spoluspalování odpadu. Výstavba a obnova systémů sledování kvality ovzduší a tvorba a aktualizace databází určených pro hodnocení kvality ovzduší.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 oblasti ochrany vod budou opatření směřována zejména na podporu výstavby, rekonstrukce a intenzifikace čistíren odpadních vod (v rozsahu daném platnou legislativou) a kanalizací, obnovu, rekonstrukci a intenzifikaci úpraven vody a vodovodů, podpora protipovodňových opatření a zlepšování vodního režimu včetně obnovy retenčních schopností krajiny, opatření na využívání srážkové vody v urbanizovaných územích, monitoringu povrchových a podzemních vod, zlepšování hydromorfologie toků, tvorby mapových databází, osvěta a propagace.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Předcházení vzniku odpadů je v rámci hierarchie nakládání s odpady jedním z nejdůležitějších základních přístupů. Zvyšování využití odpadů má dosáhnout co nejvyšší možné míry opětovného použití, materiálového využití, zefektivnění využití, opětovného využití a jiného zpracování odpadů, které vznikly. Cílem je dosáhnout takového využití odpadů, které co nejméně zatíží životní prostředí jako celek. V rámci oblasti nakládání s odpady budou opatření zaměřena na podporu využití a zpracování odpadů včetně zavádění recyklačních technologií, podporu kompostáren, bioplynových stanic a spaloven na zpracování odpady. Cíle ČR v oblasti odpadů vyplývající ze směrnic EU – dodržení hierarchie nakládání s odpady; omezení skládkování; zvýšení využití směsného komunálního odpadu (zbytku po vytřídění materiálově využitelných složek); eliminace emisí skleníkových plynů. Dále bude podpořena sanace kontaminovaných míst, včetně starých ekologických zátěží.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 oblasti biodiverzity, krajiny a půdy budou opatření zaměřena především na: Uchovávání a zvyšování početnosti ohrožených a vzácných druhů, a to především prostřednictvím péče o druhy a jejich biotopy vč. obnovy těchto biotopů.  Minimalizace a předcházení škod způsobených zvláště chráněnými druhy živočichů na majetku, realizovaná především prostřednictvím konkrétních opatření a dále vývojem a testováním nových přístupů a technologií. Zajišťování péče o zvláště chráněná území (ZCHÚ) i lokality soustavy Natura 2000, (stanovení odpovídajících ochranných podmínek a zajištění dodržování ochranných podmínek těchto území a vytvoření podmínek pro efektivní spolupráci s hospodařícími subjekty působícími v lokalitách). Monitoring (ZCHÚ, ptačí oblasti (PO) i evropsky významné lokality (EVL); zajištění sledování efektivity péče o předměty ochrany ZCHÚ, PO i EVL; zajištění hodnocení stavu předmětů ochrany ZCHÚ, PO i EVL). Realizace opatření vedoucích k adaptaci na změnu klimatu v krajině. Omezování vlivu fragmentace krajiny na druhy a ekosystémy, omezování mortality živočichů spojené s rozvojem infrastruktury. Podpora opatření ke snížení negativních vlivů při využívání půd.</w:t>
      </w:r>
    </w:p>
    <w:p w:rsidR="00447ED2" w:rsidRPr="00447ED2" w:rsidRDefault="00447ED2" w:rsidP="00447ED2">
      <w:pPr>
        <w:spacing w:after="0"/>
        <w:rPr>
          <w:rFonts w:ascii="Arial" w:hAnsi="Arial" w:cs="Arial"/>
          <w:iCs/>
          <w:u w:color="000000"/>
        </w:rPr>
      </w:pPr>
    </w:p>
    <w:p w:rsidR="00447ED2" w:rsidRPr="006D3CDD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6D3CDD">
        <w:rPr>
          <w:rFonts w:ascii="Arial" w:hAnsi="Arial" w:cs="Arial"/>
          <w:b w:val="0"/>
          <w:color w:val="auto"/>
          <w:u w:val="single"/>
        </w:rPr>
        <w:t>OP Zaměstnanost</w:t>
      </w:r>
      <w:r w:rsidR="006D3CDD" w:rsidRPr="006D3CDD">
        <w:rPr>
          <w:rFonts w:ascii="Arial" w:hAnsi="Arial" w:cs="Arial"/>
          <w:b w:val="0"/>
          <w:color w:val="auto"/>
          <w:u w:val="single"/>
        </w:rPr>
        <w:t>:</w:t>
      </w:r>
      <w:r w:rsidRPr="006D3CDD">
        <w:rPr>
          <w:rFonts w:ascii="Arial" w:hAnsi="Arial" w:cs="Arial"/>
          <w:b w:val="0"/>
          <w:color w:val="auto"/>
          <w:u w:val="single"/>
        </w:rPr>
        <w:t xml:space="preserve"> 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Zvyšování adaptability, profesní a geografické mobility pracovní síly a celkové flexibility trhu práce, prohlubování souladu kvalifikační struktury pracovní síly s potřebami trhu práce.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Přizpůsobování veřejných služeb zaměstnanosti potřebám trhu práce a zefektivňování jejich činností, modernizace a rozvoj infrastruktury služeb zaměstnanosti.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zaměstnatelnosti prostřednictvím aktivní politiky zaměstnanosti, rekvalifikace a podpora vzniku nových pracovních míst, zavádění nových či inovovaných nástrojů a opatření včetně opatření k aktivizaci vybraných skupin osob, podpora pracovní integrace osob znevýhodněných na trhu práce.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lastRenderedPageBreak/>
        <w:t>Systémová podpora celoživotního učení, zvyšování dostupnosti a kvality nabídky dalšího profesního vzdělávání ve shodě s potřebami trhu práce.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Zvyšování uplatnitelnosti osob sociálně vyloučených a osob ohrožených sociálním vyloučením na trhu práce a podpora jejich pracovní integrace, včetně podpory sociálního podnikání.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Rozvoj sociálních služeb a služeb pro rodiny a děti, komunitních aktivit a dalších navazujících aktivit za účelem sociálního začleňování nebo prevence sociálního vyloučení osob.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 xml:space="preserve">Zvyšování účinnosti systému ochrany prostřednictvím veřejné správy, včetně systému péče o ohrožené děti, podpory aktivního stárnutí a sdílené a neformální péče. 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Zkvalitnění legislativního a regulačního prostředí (zejména lepší nastavení systémových nástrojů pro posuzování dopadů regulace), vytváření a rozvoj standardů veřejných služeb a navazující zkvalitnění poskytování a dostupnosti služeb, související se zvyšováním kvalifikace zaměstnanců veřejných institucí a informovanosti klientů a posilováním transparentnosti veřejné správy.</w:t>
      </w:r>
    </w:p>
    <w:p w:rsidR="00447ED2" w:rsidRPr="00447ED2" w:rsidRDefault="00447ED2" w:rsidP="00447ED2">
      <w:pPr>
        <w:spacing w:after="0"/>
        <w:rPr>
          <w:rFonts w:ascii="Arial" w:hAnsi="Arial" w:cs="Arial"/>
          <w:iCs/>
          <w:u w:color="000000"/>
        </w:rPr>
      </w:pPr>
    </w:p>
    <w:p w:rsidR="00447ED2" w:rsidRPr="006D3CDD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6D3CDD">
        <w:rPr>
          <w:rFonts w:ascii="Arial" w:hAnsi="Arial" w:cs="Arial"/>
          <w:b w:val="0"/>
          <w:color w:val="auto"/>
          <w:u w:val="single"/>
        </w:rPr>
        <w:t>Integrovaný regionální operační program: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 xml:space="preserve">Modernizace a zefektivnění veřejné správy a </w:t>
      </w:r>
      <w:r w:rsidR="007862EC">
        <w:rPr>
          <w:rFonts w:ascii="Arial" w:hAnsi="Arial" w:cs="Arial"/>
        </w:rPr>
        <w:t>související</w:t>
      </w:r>
      <w:r w:rsidRPr="00447ED2">
        <w:rPr>
          <w:rFonts w:ascii="Arial" w:hAnsi="Arial" w:cs="Arial"/>
        </w:rPr>
        <w:t xml:space="preserve"> zavádění a rozvoj digitalizace agend (rozšíření elektronické identifikace, eGovernment, eHealth, eJustice, eCommerce, e-business, atd.) a posilování otevřenosti veřejných institucí (např. zveřejňování informací a dat). S touto oblastí souvisí rozvoj krizové a bezpečnostní komunikační infrastruktury, včetně rozvoje a posílení mobilní komunikace pro potřeby základních složek integrovaného záchranného systému. Posílení institucionální kapacity a zlepšování účinnosti v územní veřejné správě zejména s ohledem na rozvoj ICT a dále k podpoře institucionální kapacity (vazba na opatření financované z ESF) a podpora pořizování plánovací a programové dokumentace krajů a obcí.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Pro oblast zdravotnictví je na národní úrovni stěžejní koncentrace specializované péče v zájmu zvyšování efektivity a propojování zdravotní a sociální péče, podpora národních sítí zdravotnických zařízení a prevence zdravotních rizik obyvatelstva, které však bude mít významný přesah i do regionální úrovně. V oblasti péče o zdraví bude cílem zajistit dostupné a kvalitní zdravotnické služby v regionech, prostřednictvím modernizace a rozvoje infrastruktury pro poskytování zdravotní péče.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 xml:space="preserve">V oblasti kultury by měla být podporována ochrana, propagace a rozvoj kulturního dědictví nadnárodního či národního významu (národní kulturní památky, památky zapsané do seznamu UNESCO). V oblasti cestovního ruchu </w:t>
      </w:r>
      <w:r w:rsidR="007862EC">
        <w:rPr>
          <w:rFonts w:ascii="Arial" w:hAnsi="Arial" w:cs="Arial"/>
        </w:rPr>
        <w:t xml:space="preserve">bude </w:t>
      </w:r>
      <w:r w:rsidRPr="00447ED2">
        <w:rPr>
          <w:rFonts w:ascii="Arial" w:hAnsi="Arial" w:cs="Arial"/>
        </w:rPr>
        <w:t>podporov</w:t>
      </w:r>
      <w:r w:rsidR="007862EC">
        <w:rPr>
          <w:rFonts w:ascii="Arial" w:hAnsi="Arial" w:cs="Arial"/>
        </w:rPr>
        <w:t>ána</w:t>
      </w:r>
      <w:r w:rsidRPr="00447ED2">
        <w:rPr>
          <w:rFonts w:ascii="Arial" w:hAnsi="Arial" w:cs="Arial"/>
        </w:rPr>
        <w:t xml:space="preserve"> tvorb</w:t>
      </w:r>
      <w:r w:rsidR="007862EC">
        <w:rPr>
          <w:rFonts w:ascii="Arial" w:hAnsi="Arial" w:cs="Arial"/>
        </w:rPr>
        <w:t>a</w:t>
      </w:r>
      <w:r w:rsidRPr="00447ED2">
        <w:rPr>
          <w:rFonts w:ascii="Arial" w:hAnsi="Arial" w:cs="Arial"/>
        </w:rPr>
        <w:t xml:space="preserve"> a marketing národních produktů cestovního ruchu včetně budování image a značky destinace ČR, zlepšení koordinace aktivit (politika cestovního ruchu) a zkvalitnit statistiku cestovního ruchu (s přesahem do regionální a lokální úrovně). Využívání potenciálu cestovního ruchu a kulturního dědictví bude úzce koordinováno s národní podporou cestovního ruchu a kultury. Opatření budou směřovat především k podpoře inovativních a ucelených projektů cestovního ruchu v regionech, k podpoře nových produktů cestovního ruchu a managementu cestovního ruchu (zvyšování kvality činnosti a spolupráce organizací cestovního ruchu), regionálnímu marketingu a zkvalitnění nabídky služeb a infrastruktury cestovního ruchu. 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 oblasti regionální dopravy a obslužnosti podpora vybraných silnic II. a III. třídy s vazbou na síť TEN-T (připojení sekundárních a terciárních uzlů k této síti), podpora udržitelné městské mobility včetně rozvoje dopravních systémů šetrných k životnímu prostředí (integrované dopravní systémy, rozvoj nízkouhlíkových dopravních systémů), snížení negativních vlivů dopravy na obyvatelstvo.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lastRenderedPageBreak/>
        <w:t>V oblastech dotýkajících se životního prostředí bude nutno směřovat podporu zejména na zlepšování životního prostředí ve městech (zlepšování kvality ovzduší, regenerace brownfields) a na snižování energetické náročnosti veřejného sektoru a bydlení, na ochranu biodiverzity a péče o krajinu a půdu, odstraňování ekologických zátěží a řízení rizik. Související oblastí je územní plánování, kde je potřebné se zaměřit na podporu zpracování ú</w:t>
      </w:r>
      <w:r w:rsidR="007862EC">
        <w:rPr>
          <w:rFonts w:ascii="Arial" w:hAnsi="Arial" w:cs="Arial"/>
        </w:rPr>
        <w:t>zemních plánů a územních studií.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 oblasti vzdělávání bude cílem rozvoj a modernizace infrastruktury určené pro vzdělávání všech věkových kategorií obyvatel včetně optimalizace sítě školských zařízení (investiční podpora regionálního školství – základní, střední a vyšší odborné školství, vzdělávací zařízení neziskových organizací, učňovské školství a celoživotního učení).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 oblasti sociální infrastruktury se podpora zaměří na podporu investic do sociální infrastruktury - rozvoj sítě sociálních služeb, rozvoj zařízení sloužících skupinám ohrožených vyloučením, zařízení pro seniory, zařízení předškolní a mimoškolní péče o děti a na sociální začlenění znevýhodněných skupin, např. Rómů, včetně komplexního řešení problematiky vyloučených lokalit.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v oblasti bydlení bude zaměřena na sociální bydlení a funkční zkvalitnění veřejných prostranství. Bude také podporováno snižování energetické náročnosti domů pro bydlení a veřejných budov.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iniciativ místního rozvoje a podpora subjektů poskytujících místní služby zaměřené na vznik nových pracovních míst, podpora sociálního podnikání.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  <w:iCs/>
        </w:rPr>
      </w:pPr>
    </w:p>
    <w:p w:rsidR="00447ED2" w:rsidRPr="006D3CDD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6D3CDD">
        <w:rPr>
          <w:rFonts w:ascii="Arial" w:hAnsi="Arial" w:cs="Arial"/>
          <w:b w:val="0"/>
          <w:color w:val="auto"/>
          <w:u w:val="single"/>
        </w:rPr>
        <w:t>OP Praha – pól růstu ČR: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využití potenciálu města k zabezpečení jeho konkurenceschopnosti a prosperity a rozvoj Prahy jako centra výzkumu, vývoje, inovací a vzdělávání. Zvýšení výkonnosti a efektivnosti ekonomiky, zajištění příznivého podnikatelského prostředí.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fungování otevřeného, dostatečně strukturovaného trhu práce. Zvýšení vzdělanostní úrovně obyvatel Prahy a propojení vysokých škol s vědecko-výzkumnými pracovišti.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úsporného a udržitelného využívání zdrojů energií, zajištění trvale možného souladu městského a přírodního prostředí a udržitelné městské mobility.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Podpora účinného systému rozvoje a plánování sociálních služeb, preferování moderních způsobů poskytování sociálních služeb, odstraňování bariér pro znevýhodněné skupiny obyvatel, zajištění podpory rovných příležitostí mužů a žen v pracovním a rodinném životě.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  <w:u w:color="000000"/>
        </w:rPr>
      </w:pPr>
    </w:p>
    <w:p w:rsidR="00447ED2" w:rsidRPr="00212673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212673">
        <w:rPr>
          <w:rFonts w:ascii="Arial" w:hAnsi="Arial" w:cs="Arial"/>
          <w:b w:val="0"/>
          <w:color w:val="auto"/>
          <w:u w:val="single"/>
        </w:rPr>
        <w:t>OP Přeshraniční spolupráce:</w:t>
      </w:r>
    </w:p>
    <w:p w:rsidR="00D73AE9" w:rsidRPr="00D73AE9" w:rsidRDefault="00447ED2" w:rsidP="00D73AE9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  <w:u w:color="000000"/>
        </w:rPr>
        <w:t>Hlavním posláním programů přeshraniční spolupráce v budoucím programovém období je i nadále podpora integrovaného regionálního rozvoje území tvořeného regiony úrovně NUTS 3 nacházejícími se podél státních hranic.</w:t>
      </w:r>
      <w:r w:rsidR="00212673">
        <w:rPr>
          <w:rFonts w:ascii="Arial" w:hAnsi="Arial" w:cs="Arial"/>
          <w:u w:color="000000"/>
        </w:rPr>
        <w:t xml:space="preserve"> </w:t>
      </w:r>
      <w:r w:rsidR="00212673">
        <w:rPr>
          <w:rFonts w:ascii="Arial" w:hAnsi="Arial" w:cs="Arial"/>
        </w:rPr>
        <w:t>K</w:t>
      </w:r>
      <w:r w:rsidRPr="00447ED2">
        <w:rPr>
          <w:rFonts w:ascii="Arial" w:hAnsi="Arial" w:cs="Arial"/>
        </w:rPr>
        <w:t xml:space="preserve">onkrétní zaměření jednotlivých operačních programů přeshraniční spolupráce </w:t>
      </w:r>
      <w:r w:rsidR="00060C2A">
        <w:rPr>
          <w:rFonts w:ascii="Arial" w:hAnsi="Arial" w:cs="Arial"/>
        </w:rPr>
        <w:t>je</w:t>
      </w:r>
      <w:r w:rsidRPr="00447ED2">
        <w:rPr>
          <w:rFonts w:ascii="Arial" w:hAnsi="Arial" w:cs="Arial"/>
        </w:rPr>
        <w:t xml:space="preserve"> výsledkem jednání se zahraničními partnery, kdy na základě provedené analýzy socioekonomické situace programového území </w:t>
      </w:r>
      <w:r w:rsidR="00060C2A">
        <w:rPr>
          <w:rFonts w:ascii="Arial" w:hAnsi="Arial" w:cs="Arial"/>
        </w:rPr>
        <w:t>jsou</w:t>
      </w:r>
      <w:r w:rsidRPr="00447ED2">
        <w:rPr>
          <w:rFonts w:ascii="Arial" w:hAnsi="Arial" w:cs="Arial"/>
        </w:rPr>
        <w:t xml:space="preserve"> volena </w:t>
      </w:r>
      <w:r w:rsidR="00060C2A">
        <w:rPr>
          <w:rFonts w:ascii="Arial" w:hAnsi="Arial" w:cs="Arial"/>
        </w:rPr>
        <w:t xml:space="preserve">na základě principu tematické koncentrace </w:t>
      </w:r>
      <w:r w:rsidRPr="00447ED2">
        <w:rPr>
          <w:rFonts w:ascii="Arial" w:hAnsi="Arial" w:cs="Arial"/>
        </w:rPr>
        <w:t>společná témata, jež budou tvořit obsahovou náplň programu.</w:t>
      </w:r>
      <w:r w:rsidR="00060C2A">
        <w:rPr>
          <w:rFonts w:ascii="Arial" w:hAnsi="Arial" w:cs="Arial"/>
        </w:rPr>
        <w:t xml:space="preserve"> Kraje Vysočina se týká příprava </w:t>
      </w:r>
      <w:r w:rsidR="00060C2A" w:rsidRPr="003275C6">
        <w:rPr>
          <w:rFonts w:ascii="Arial" w:hAnsi="Arial" w:cs="Arial"/>
          <w:b/>
          <w:i/>
        </w:rPr>
        <w:t>Operačního programu Rakousko – Česká republika 2014-2020</w:t>
      </w:r>
      <w:r w:rsidR="00060C2A">
        <w:rPr>
          <w:rFonts w:ascii="Arial" w:hAnsi="Arial" w:cs="Arial"/>
        </w:rPr>
        <w:t xml:space="preserve"> </w:t>
      </w:r>
      <w:r w:rsidR="00060C2A" w:rsidRPr="00D73AE9">
        <w:rPr>
          <w:rFonts w:ascii="Arial" w:hAnsi="Arial" w:cs="Arial"/>
        </w:rPr>
        <w:t>(dále jen „OP AT-CZ 2014-2020“)</w:t>
      </w:r>
      <w:r w:rsidR="00060C2A">
        <w:rPr>
          <w:rFonts w:ascii="Arial" w:hAnsi="Arial" w:cs="Arial"/>
        </w:rPr>
        <w:t xml:space="preserve">. </w:t>
      </w:r>
      <w:r w:rsidR="00D73AE9" w:rsidRPr="00D73AE9">
        <w:rPr>
          <w:rFonts w:ascii="Arial" w:hAnsi="Arial" w:cs="Arial"/>
        </w:rPr>
        <w:t xml:space="preserve">Během prvního pololetí roku 2013 proběhla dvě jednání Programovací skupiny OP AT-CZ 2014-2020. Jde o kontinuální pokračování jednání o budoucím nastavení OP AT-CZ 2014-2020. Členy Programovací skupiny jsou zástupci všech regionů z české i rakouské strany, zahrnutých do implementace současného programu 2007-2013, ale </w:t>
      </w:r>
      <w:r w:rsidR="00060C2A">
        <w:rPr>
          <w:rFonts w:ascii="Arial" w:hAnsi="Arial" w:cs="Arial"/>
        </w:rPr>
        <w:t xml:space="preserve">i </w:t>
      </w:r>
      <w:r w:rsidR="00D73AE9" w:rsidRPr="00D73AE9">
        <w:rPr>
          <w:rFonts w:ascii="Arial" w:hAnsi="Arial" w:cs="Arial"/>
        </w:rPr>
        <w:t>také zástupci Ministerstva pro místní rozvoj (dále jen „MMR“), jako národní orgán a zástupci Země Dolní Rakousko, jako řídící orgán programu.</w:t>
      </w:r>
    </w:p>
    <w:p w:rsidR="00D73AE9" w:rsidRPr="00D73AE9" w:rsidRDefault="00D73AE9" w:rsidP="00D73AE9">
      <w:pPr>
        <w:spacing w:after="0"/>
        <w:jc w:val="both"/>
        <w:rPr>
          <w:rFonts w:ascii="Arial" w:hAnsi="Arial" w:cs="Arial"/>
        </w:rPr>
      </w:pPr>
      <w:r w:rsidRPr="00D73AE9">
        <w:rPr>
          <w:rFonts w:ascii="Arial" w:hAnsi="Arial" w:cs="Arial"/>
        </w:rPr>
        <w:lastRenderedPageBreak/>
        <w:t>Po předběžném společném konsenzu na volbě čtyř respektive pěti tematických cílů podle návrhu nařízení Evropské komise (dále jen „EK“) pro Evropskou územní spolupráci mezi českými regiony ležícími v programovém území na úřednické úrovni</w:t>
      </w:r>
      <w:r w:rsidR="00060C2A">
        <w:rPr>
          <w:rFonts w:ascii="Arial" w:hAnsi="Arial" w:cs="Arial"/>
        </w:rPr>
        <w:t>,</w:t>
      </w:r>
      <w:r w:rsidRPr="00D73AE9">
        <w:rPr>
          <w:rFonts w:ascii="Arial" w:hAnsi="Arial" w:cs="Arial"/>
        </w:rPr>
        <w:t xml:space="preserve"> došlo ke shodě i se stranou rakouskou (tyto cíle byly vyjmenovány v</w:t>
      </w:r>
      <w:r w:rsidR="00D214FE">
        <w:rPr>
          <w:rFonts w:ascii="Arial" w:hAnsi="Arial" w:cs="Arial"/>
        </w:rPr>
        <w:t xml:space="preserve"> této</w:t>
      </w:r>
      <w:r w:rsidRPr="00D73AE9">
        <w:rPr>
          <w:rFonts w:ascii="Arial" w:hAnsi="Arial" w:cs="Arial"/>
        </w:rPr>
        <w:t xml:space="preserve"> Zprávě </w:t>
      </w:r>
      <w:r w:rsidR="00D214FE">
        <w:rPr>
          <w:rFonts w:ascii="Arial" w:hAnsi="Arial" w:cs="Arial"/>
        </w:rPr>
        <w:t xml:space="preserve">předložené ZK </w:t>
      </w:r>
      <w:r w:rsidRPr="00D73AE9">
        <w:rPr>
          <w:rFonts w:ascii="Arial" w:hAnsi="Arial" w:cs="Arial"/>
        </w:rPr>
        <w:t xml:space="preserve">dne 18. 12. 2012). </w:t>
      </w:r>
      <w:r>
        <w:rPr>
          <w:rFonts w:ascii="Arial" w:hAnsi="Arial" w:cs="Arial"/>
        </w:rPr>
        <w:t>Vybrané</w:t>
      </w:r>
      <w:r w:rsidRPr="00D73AE9">
        <w:rPr>
          <w:rFonts w:ascii="Arial" w:hAnsi="Arial" w:cs="Arial"/>
        </w:rPr>
        <w:t xml:space="preserve"> tematické cíle a jejich jednotlivé investiční priority jsou dále zpracovatelem OP AT-CZ 2014-2020 rozpracovávány v součinnosti se subjekty zapojenými do implementace současného programu. V současné době jsou řešeny indikátory nastavované pro jednotlivé investiční priority. Během léta 2013 se očekává vydání první verze kompletního OP AT-CZ 2014-2020. Po všech korekturách a připomínkách plánuje Řídící orgán programu zaslání definitivní verze na adresu EK na podzim 2013. </w:t>
      </w:r>
    </w:p>
    <w:p w:rsidR="00060C2A" w:rsidRDefault="00060C2A" w:rsidP="00D73A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73AE9" w:rsidRPr="00D73AE9">
        <w:rPr>
          <w:rFonts w:ascii="Arial" w:hAnsi="Arial" w:cs="Arial"/>
        </w:rPr>
        <w:t>ýsled</w:t>
      </w:r>
      <w:r>
        <w:rPr>
          <w:rFonts w:ascii="Arial" w:hAnsi="Arial" w:cs="Arial"/>
        </w:rPr>
        <w:t>em</w:t>
      </w:r>
      <w:r w:rsidR="00D73AE9" w:rsidRPr="00D73AE9">
        <w:rPr>
          <w:rFonts w:ascii="Arial" w:hAnsi="Arial" w:cs="Arial"/>
        </w:rPr>
        <w:t xml:space="preserve"> jednání mezi MMR a zástupci EK </w:t>
      </w:r>
      <w:r>
        <w:rPr>
          <w:rFonts w:ascii="Arial" w:hAnsi="Arial" w:cs="Arial"/>
        </w:rPr>
        <w:t xml:space="preserve">je </w:t>
      </w:r>
      <w:r w:rsidR="00D73AE9" w:rsidRPr="00D73AE9">
        <w:rPr>
          <w:rFonts w:ascii="Arial" w:hAnsi="Arial" w:cs="Arial"/>
        </w:rPr>
        <w:t xml:space="preserve">zachování současné výše dotace z ERDF na úrovni 85 %. </w:t>
      </w:r>
    </w:p>
    <w:p w:rsidR="00447ED2" w:rsidRPr="00212673" w:rsidRDefault="00D73AE9" w:rsidP="00D73AE9">
      <w:pPr>
        <w:spacing w:after="0"/>
        <w:jc w:val="both"/>
        <w:rPr>
          <w:rFonts w:ascii="Arial" w:hAnsi="Arial" w:cs="Arial"/>
          <w:u w:color="000000"/>
        </w:rPr>
      </w:pPr>
      <w:r w:rsidRPr="00D73AE9">
        <w:rPr>
          <w:rFonts w:ascii="Arial" w:hAnsi="Arial" w:cs="Arial"/>
        </w:rPr>
        <w:t>Současně s přípravou velkého programu probíhají také jednání o budoucnosti Fondu malých projektů v rámci OP AT-CZ (dále jen „FMP“). U této otázky</w:t>
      </w:r>
      <w:r>
        <w:rPr>
          <w:rFonts w:ascii="Arial" w:hAnsi="Arial" w:cs="Arial"/>
        </w:rPr>
        <w:t xml:space="preserve"> trvá zájem všech českých krajů, </w:t>
      </w:r>
      <w:r w:rsidRPr="00D73AE9">
        <w:rPr>
          <w:rFonts w:ascii="Arial" w:hAnsi="Arial" w:cs="Arial"/>
        </w:rPr>
        <w:t>zapojených do programu</w:t>
      </w:r>
      <w:r>
        <w:rPr>
          <w:rFonts w:ascii="Arial" w:hAnsi="Arial" w:cs="Arial"/>
        </w:rPr>
        <w:t>,</w:t>
      </w:r>
      <w:r w:rsidRPr="00D73AE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zachování</w:t>
      </w:r>
      <w:r w:rsidRPr="00D73AE9">
        <w:rPr>
          <w:rFonts w:ascii="Arial" w:hAnsi="Arial" w:cs="Arial"/>
        </w:rPr>
        <w:t xml:space="preserve"> FMP,</w:t>
      </w:r>
      <w:r>
        <w:rPr>
          <w:rFonts w:ascii="Arial" w:hAnsi="Arial" w:cs="Arial"/>
        </w:rPr>
        <w:t xml:space="preserve"> pokud možno v nezměněné podobě pouze s drobnými úpravami, týkajícími se zjednodušení administrace projektů.</w:t>
      </w:r>
      <w:r w:rsidRPr="00D73AE9">
        <w:rPr>
          <w:rFonts w:ascii="Arial" w:hAnsi="Arial" w:cs="Arial"/>
        </w:rPr>
        <w:t xml:space="preserve"> Další jednání je plánováno na podzim 2013, kdy už bude jasno o struktuře OP AT-CZ 2014-2020.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</w:rPr>
      </w:pPr>
    </w:p>
    <w:p w:rsidR="00447ED2" w:rsidRPr="00212673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212673">
        <w:rPr>
          <w:rFonts w:ascii="Arial" w:hAnsi="Arial" w:cs="Arial"/>
          <w:b w:val="0"/>
          <w:color w:val="auto"/>
          <w:u w:val="single"/>
        </w:rPr>
        <w:t>OP Nadnárodní spolupráce: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  <w:u w:color="000000"/>
        </w:rPr>
      </w:pPr>
      <w:r w:rsidRPr="00447ED2">
        <w:rPr>
          <w:rFonts w:ascii="Arial" w:hAnsi="Arial" w:cs="Arial"/>
          <w:u w:color="000000"/>
        </w:rPr>
        <w:t>Hlavním posláním programů nadnárodní spolupráce v budoucím programovém období zůstává i nadále koordinovaný rozvoj a řešení výzev společných pro nadnárodní oblasti tvořené regiony úrovně NUTS 2.</w:t>
      </w:r>
    </w:p>
    <w:p w:rsidR="00BE50CE" w:rsidRDefault="00BE50CE" w:rsidP="00BE50CE">
      <w:pPr>
        <w:spacing w:after="0"/>
        <w:jc w:val="both"/>
        <w:rPr>
          <w:rFonts w:ascii="Arial" w:hAnsi="Arial" w:cs="Arial"/>
          <w:u w:color="000000"/>
        </w:rPr>
      </w:pPr>
      <w:r w:rsidRPr="00BE50CE">
        <w:rPr>
          <w:rFonts w:ascii="Arial" w:hAnsi="Arial" w:cs="Arial"/>
          <w:u w:color="000000"/>
        </w:rPr>
        <w:t xml:space="preserve">Česká republika je kromě </w:t>
      </w:r>
      <w:r w:rsidRPr="009669B4">
        <w:rPr>
          <w:rFonts w:ascii="Arial" w:hAnsi="Arial" w:cs="Arial"/>
          <w:b/>
          <w:i/>
          <w:u w:color="000000"/>
        </w:rPr>
        <w:t xml:space="preserve">Operačního programu Nadnárodní spolupráce Střední Evropa (Central Europe) </w:t>
      </w:r>
      <w:r w:rsidRPr="00BE50CE">
        <w:rPr>
          <w:rFonts w:ascii="Arial" w:hAnsi="Arial" w:cs="Arial"/>
          <w:u w:color="000000"/>
        </w:rPr>
        <w:t xml:space="preserve">zahrnuta také v nově vznikajícím </w:t>
      </w:r>
      <w:r w:rsidRPr="009669B4">
        <w:rPr>
          <w:rFonts w:ascii="Arial" w:hAnsi="Arial" w:cs="Arial"/>
          <w:b/>
          <w:i/>
          <w:u w:color="000000"/>
        </w:rPr>
        <w:t>Operačním programu Nadnárodní spolupráce Dunajský region</w:t>
      </w:r>
      <w:r w:rsidRPr="00BE50CE">
        <w:rPr>
          <w:rFonts w:ascii="Arial" w:hAnsi="Arial" w:cs="Arial"/>
          <w:u w:color="000000"/>
        </w:rPr>
        <w:t xml:space="preserve"> (dále jen OP Dunajský region). Do tohoto Operačního programu je kromě ČR zahrnuto dalších 13 zemí: Německo (Bádensko-Württembersko, Bavorsko), Rakousko, Slovensko, Maďarsko, Slovinsko, Chorvatsko, Bosna a Hercegovina, Černá Hora, Srbsko, Bulharsko, Rumunsko, Moldavsko a jihozápadní část Ukrajiny (Černovická oblast, Ivanofrankivská oblast, Zakarpatská oblast a Oděská oblast). </w:t>
      </w:r>
    </w:p>
    <w:p w:rsidR="009669B4" w:rsidRDefault="009669B4" w:rsidP="009669B4">
      <w:pPr>
        <w:spacing w:after="0"/>
        <w:jc w:val="both"/>
        <w:rPr>
          <w:rFonts w:ascii="Arial" w:hAnsi="Arial" w:cs="Arial"/>
          <w:u w:color="000000"/>
        </w:rPr>
      </w:pPr>
      <w:r w:rsidRPr="00447ED2">
        <w:rPr>
          <w:rFonts w:ascii="Arial" w:hAnsi="Arial" w:cs="Arial"/>
          <w:u w:color="000000"/>
        </w:rPr>
        <w:t>Konkrétní zaměření programů bude známo až na základě dalších jednání a na základě analýzy potřeb daného programového území. Na základě těchto jednání a výsledků analýzy budou určeny společné tematické cíle a konkrétní obsah programů. S ohledem na koncentraci navíc platí podmínka, že v rámci operačního programu bude možné realizovat max. 4 tematické cíle.</w:t>
      </w:r>
    </w:p>
    <w:p w:rsidR="00BE50CE" w:rsidRPr="00BE50CE" w:rsidRDefault="00BE50CE" w:rsidP="009669B4">
      <w:pPr>
        <w:spacing w:after="0"/>
        <w:jc w:val="both"/>
        <w:rPr>
          <w:rFonts w:ascii="Arial" w:hAnsi="Arial" w:cs="Arial"/>
          <w:u w:color="000000"/>
        </w:rPr>
      </w:pPr>
      <w:r w:rsidRPr="00BE50CE">
        <w:rPr>
          <w:rFonts w:ascii="Arial" w:hAnsi="Arial" w:cs="Arial"/>
          <w:u w:color="000000"/>
        </w:rPr>
        <w:t xml:space="preserve">Proces programování OP Dunajský region je oproti jiným Operačním programům Evropské územní spolupráce zpožděný, protože se o jeho vzniku rozhodlo poměrně nedávno. První setkání zástupců států, zapojených do OP Dunajský region proběhlo v lednu 2013. Na prvním setkání byla ustanovena pracovní skupina, která bude řídit proces plánování tohoto OP. Momentálním vedením této skupiny bylo pověřeno Maďarsko. Na setkání se také odsouhlasila časová posloupnost a náplně dalších jednání. Bylo rozhodnuto, že jako výchozí dokument pro OP Dunajský region bude použita tzv. Dunajská strategie, která byla zpracovávána od roku 2009 a zveřejněna v prosinci roku 2010. </w:t>
      </w:r>
    </w:p>
    <w:p w:rsidR="00D214FE" w:rsidRPr="00BE50CE" w:rsidRDefault="00BE50CE" w:rsidP="00D214FE">
      <w:pPr>
        <w:spacing w:after="0"/>
        <w:jc w:val="both"/>
        <w:rPr>
          <w:rFonts w:ascii="Arial" w:hAnsi="Arial" w:cs="Arial"/>
          <w:u w:color="000000"/>
        </w:rPr>
      </w:pPr>
      <w:r w:rsidRPr="00BE50CE">
        <w:rPr>
          <w:rFonts w:ascii="Arial" w:hAnsi="Arial" w:cs="Arial"/>
          <w:u w:color="000000"/>
        </w:rPr>
        <w:t xml:space="preserve">Hlavní otázkou, kterou musí nyní pracovní skupina řešit, je určení řídící struktury OP Dunajský region (lokace – hlavními kandidáty jsou Maďarsko a Rumunsko, forma – řídící orgán, národní orgán, technický sekretariát či evropské uskupení pro územní spolupráci) a tematické zaměření. </w:t>
      </w:r>
      <w:r w:rsidR="00D214FE">
        <w:rPr>
          <w:rFonts w:ascii="Arial" w:hAnsi="Arial" w:cs="Arial"/>
          <w:u w:color="000000"/>
        </w:rPr>
        <w:t>V rámci t</w:t>
      </w:r>
      <w:r w:rsidRPr="00BE50CE">
        <w:rPr>
          <w:rFonts w:ascii="Arial" w:hAnsi="Arial" w:cs="Arial"/>
          <w:u w:color="000000"/>
        </w:rPr>
        <w:t xml:space="preserve">ematické zaměření OP Dunajský region </w:t>
      </w:r>
      <w:r w:rsidR="00D214FE">
        <w:rPr>
          <w:rFonts w:ascii="Arial" w:hAnsi="Arial" w:cs="Arial"/>
          <w:u w:color="000000"/>
        </w:rPr>
        <w:t xml:space="preserve">by </w:t>
      </w:r>
      <w:r w:rsidR="009669B4">
        <w:rPr>
          <w:rFonts w:ascii="Arial" w:hAnsi="Arial" w:cs="Arial"/>
          <w:u w:color="000000"/>
        </w:rPr>
        <w:t xml:space="preserve">mělo </w:t>
      </w:r>
      <w:r w:rsidR="00D214FE">
        <w:rPr>
          <w:rFonts w:ascii="Arial" w:hAnsi="Arial" w:cs="Arial"/>
          <w:u w:color="000000"/>
        </w:rPr>
        <w:t>dojít</w:t>
      </w:r>
      <w:r w:rsidRPr="00BE50CE">
        <w:rPr>
          <w:rFonts w:ascii="Arial" w:hAnsi="Arial" w:cs="Arial"/>
          <w:u w:color="000000"/>
        </w:rPr>
        <w:t xml:space="preserve"> </w:t>
      </w:r>
      <w:r w:rsidR="009669B4">
        <w:rPr>
          <w:rFonts w:ascii="Arial" w:hAnsi="Arial" w:cs="Arial"/>
          <w:u w:color="000000"/>
        </w:rPr>
        <w:t xml:space="preserve">ke zvolení </w:t>
      </w:r>
      <w:r w:rsidRPr="00BE50CE">
        <w:rPr>
          <w:rFonts w:ascii="Arial" w:hAnsi="Arial" w:cs="Arial"/>
          <w:u w:color="000000"/>
        </w:rPr>
        <w:t>4 tematických cílů z 1</w:t>
      </w:r>
      <w:r w:rsidR="009669B4">
        <w:rPr>
          <w:rFonts w:ascii="Arial" w:hAnsi="Arial" w:cs="Arial"/>
          <w:u w:color="000000"/>
        </w:rPr>
        <w:t>1, které určila Evropská komise.</w:t>
      </w:r>
      <w:r w:rsidR="00D214FE">
        <w:rPr>
          <w:rFonts w:ascii="Arial" w:hAnsi="Arial" w:cs="Arial"/>
          <w:u w:color="000000"/>
        </w:rPr>
        <w:t xml:space="preserve"> </w:t>
      </w:r>
      <w:r w:rsidR="00D214FE" w:rsidRPr="00BE50CE">
        <w:rPr>
          <w:rFonts w:ascii="Arial" w:hAnsi="Arial" w:cs="Arial"/>
          <w:u w:color="000000"/>
        </w:rPr>
        <w:t>Další jednání proběhne v červnu 2013.</w:t>
      </w:r>
    </w:p>
    <w:p w:rsidR="00BE50CE" w:rsidRPr="00BE50CE" w:rsidRDefault="00BE50CE" w:rsidP="00BE50CE">
      <w:pPr>
        <w:spacing w:after="0"/>
        <w:jc w:val="both"/>
        <w:rPr>
          <w:rFonts w:ascii="Arial" w:hAnsi="Arial" w:cs="Arial"/>
          <w:u w:color="000000"/>
        </w:rPr>
      </w:pPr>
    </w:p>
    <w:p w:rsidR="00447ED2" w:rsidRPr="00447ED2" w:rsidRDefault="00447ED2" w:rsidP="00447ED2">
      <w:pPr>
        <w:spacing w:after="0"/>
        <w:jc w:val="both"/>
        <w:rPr>
          <w:rFonts w:ascii="Arial" w:hAnsi="Arial" w:cs="Arial"/>
          <w:u w:color="000000"/>
        </w:rPr>
      </w:pPr>
    </w:p>
    <w:p w:rsidR="00447ED2" w:rsidRPr="002B11A5" w:rsidRDefault="00212673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2B11A5">
        <w:rPr>
          <w:rFonts w:ascii="Arial" w:hAnsi="Arial" w:cs="Arial"/>
          <w:b w:val="0"/>
          <w:color w:val="auto"/>
          <w:u w:val="single"/>
        </w:rPr>
        <w:t>OP Meziregionální spolupráce</w:t>
      </w:r>
      <w:r w:rsidR="00447ED2" w:rsidRPr="002B11A5">
        <w:rPr>
          <w:rFonts w:ascii="Arial" w:hAnsi="Arial" w:cs="Arial"/>
          <w:b w:val="0"/>
          <w:color w:val="auto"/>
          <w:u w:val="single"/>
        </w:rPr>
        <w:t>: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  <w:u w:color="000000"/>
        </w:rPr>
      </w:pPr>
      <w:r w:rsidRPr="00447ED2">
        <w:rPr>
          <w:rFonts w:ascii="Arial" w:hAnsi="Arial" w:cs="Arial"/>
          <w:u w:color="000000"/>
        </w:rPr>
        <w:t>Hlavním posláním programů meziregionální spolupráce v budoucím programovém období bude i nadále výměna zkušeností a šíření dobré praxe v oblastech regionálních politik, udržitelného rozvoje měst a v oblastech efektivní implementace evropské územní spolupráce. Mezi další cíle bude i nadále patřit analýza trendů územního rozvoje prostřednictvím studií a sběru dat.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  <w:u w:color="000000"/>
        </w:rPr>
      </w:pPr>
      <w:r w:rsidRPr="00447ED2">
        <w:rPr>
          <w:rFonts w:ascii="Arial" w:hAnsi="Arial" w:cs="Arial"/>
          <w:u w:color="000000"/>
        </w:rPr>
        <w:t>Jednání o budoucím zaměření se teprve rozbíhají a je tedy předčasné definovat konkrétní zaměření programů meziregionální spolupráce. Teprve v průběhu roku 201</w:t>
      </w:r>
      <w:r w:rsidR="003275C6">
        <w:rPr>
          <w:rFonts w:ascii="Arial" w:hAnsi="Arial" w:cs="Arial"/>
          <w:u w:color="000000"/>
        </w:rPr>
        <w:t>3</w:t>
      </w:r>
      <w:r w:rsidRPr="00447ED2">
        <w:rPr>
          <w:rFonts w:ascii="Arial" w:hAnsi="Arial" w:cs="Arial"/>
          <w:u w:color="000000"/>
        </w:rPr>
        <w:t xml:space="preserve"> se bude konkretizovat zaměření jednotlivých programů na základě dalších jednání mezi členskými státy. Pro program INTERREG C jsou závazné tematické cíle a investiční priority definované v návrzích nařízení. Pro programy ESPON, URBACT a INTERACT se obsahové zaměření upraví podle specifik jednotlivých programů</w:t>
      </w:r>
    </w:p>
    <w:p w:rsidR="00447ED2" w:rsidRPr="00447ED2" w:rsidRDefault="00447ED2" w:rsidP="00447ED2">
      <w:pPr>
        <w:spacing w:after="0"/>
        <w:jc w:val="both"/>
        <w:rPr>
          <w:rFonts w:ascii="Arial" w:hAnsi="Arial" w:cs="Arial"/>
          <w:u w:color="000000"/>
        </w:rPr>
      </w:pPr>
    </w:p>
    <w:p w:rsidR="00447ED2" w:rsidRPr="00447ED2" w:rsidRDefault="00447ED2" w:rsidP="00447ED2">
      <w:pPr>
        <w:pStyle w:val="Nadpis4"/>
        <w:spacing w:before="0"/>
        <w:rPr>
          <w:rFonts w:ascii="Arial" w:hAnsi="Arial" w:cs="Arial"/>
          <w:b w:val="0"/>
          <w:color w:val="auto"/>
        </w:rPr>
      </w:pPr>
      <w:r w:rsidRPr="002B11A5">
        <w:rPr>
          <w:rFonts w:ascii="Arial" w:hAnsi="Arial" w:cs="Arial"/>
          <w:b w:val="0"/>
          <w:color w:val="auto"/>
          <w:u w:val="single"/>
        </w:rPr>
        <w:t>Program rozvoje venkova ČR 2014 – 2020</w:t>
      </w:r>
      <w:r w:rsidR="002B11A5">
        <w:rPr>
          <w:rFonts w:ascii="Arial" w:hAnsi="Arial" w:cs="Arial"/>
          <w:b w:val="0"/>
          <w:color w:val="auto"/>
          <w:u w:val="single"/>
        </w:rPr>
        <w:t>:</w:t>
      </w:r>
      <w:r w:rsidRPr="00447ED2">
        <w:rPr>
          <w:rFonts w:ascii="Arial" w:hAnsi="Arial" w:cs="Arial"/>
          <w:b w:val="0"/>
          <w:color w:val="auto"/>
        </w:rPr>
        <w:t xml:space="preserve"> </w:t>
      </w:r>
    </w:p>
    <w:p w:rsidR="00447ED2" w:rsidRPr="00447ED2" w:rsidRDefault="00447ED2" w:rsidP="00447ED2">
      <w:pPr>
        <w:pStyle w:val="Odstavecseseznamem1"/>
        <w:spacing w:after="0" w:line="240" w:lineRule="auto"/>
        <w:ind w:left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 aktuálním konceptu Programu rozvoje venkova na období 2014</w:t>
      </w:r>
      <w:r w:rsidRPr="00447ED2">
        <w:rPr>
          <w:rFonts w:ascii="Arial" w:hAnsi="Arial" w:cs="Arial"/>
          <w:u w:color="000000"/>
        </w:rPr>
        <w:t>–</w:t>
      </w:r>
      <w:r w:rsidRPr="00447ED2">
        <w:rPr>
          <w:rFonts w:ascii="Arial" w:hAnsi="Arial" w:cs="Arial"/>
        </w:rPr>
        <w:t>2020 jsou obsažena níže uvedená opatření přiřazená šesti prioritám Unie v oblasti rozvoje venkova, které odrážejí příslušné tematické cíle Společného strategického rámce.</w:t>
      </w:r>
    </w:p>
    <w:p w:rsidR="00447ED2" w:rsidRPr="002B11A5" w:rsidRDefault="00447ED2" w:rsidP="00447ED2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2B11A5">
        <w:rPr>
          <w:rFonts w:ascii="Arial" w:hAnsi="Arial" w:cs="Arial"/>
          <w:bCs/>
        </w:rPr>
        <w:t>Výčet priorit:</w:t>
      </w:r>
    </w:p>
    <w:p w:rsidR="00447ED2" w:rsidRPr="00447ED2" w:rsidRDefault="00447ED2" w:rsidP="00447ED2">
      <w:pPr>
        <w:pStyle w:val="Point0"/>
        <w:numPr>
          <w:ilvl w:val="0"/>
          <w:numId w:val="7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47ED2">
        <w:rPr>
          <w:rFonts w:ascii="Arial" w:hAnsi="Arial" w:cs="Arial"/>
          <w:sz w:val="22"/>
          <w:szCs w:val="22"/>
        </w:rPr>
        <w:t xml:space="preserve">Podpora předávání znalostí a inovací v zemědělství, lesnictví a ve venkovských oblastech </w:t>
      </w:r>
    </w:p>
    <w:p w:rsidR="00447ED2" w:rsidRPr="00447ED2" w:rsidRDefault="00447ED2" w:rsidP="00447ED2">
      <w:pPr>
        <w:pStyle w:val="Point0"/>
        <w:numPr>
          <w:ilvl w:val="0"/>
          <w:numId w:val="7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47ED2">
        <w:rPr>
          <w:rFonts w:ascii="Arial" w:hAnsi="Arial" w:cs="Arial"/>
          <w:sz w:val="22"/>
          <w:szCs w:val="22"/>
        </w:rPr>
        <w:t xml:space="preserve">Zvýšení konkurenceschopnosti všech druhů zemědělské činnosti a zlepšení životaschopnosti zemědělských podniků </w:t>
      </w:r>
    </w:p>
    <w:p w:rsidR="00447ED2" w:rsidRPr="00447ED2" w:rsidRDefault="00447ED2" w:rsidP="00447ED2">
      <w:pPr>
        <w:pStyle w:val="Point0"/>
        <w:numPr>
          <w:ilvl w:val="0"/>
          <w:numId w:val="7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47ED2">
        <w:rPr>
          <w:rFonts w:ascii="Arial" w:hAnsi="Arial" w:cs="Arial"/>
          <w:sz w:val="22"/>
          <w:szCs w:val="22"/>
        </w:rPr>
        <w:t xml:space="preserve">Podpora organizace potravinového řetězce a řízení rizik v zemědělství </w:t>
      </w:r>
    </w:p>
    <w:p w:rsidR="00447ED2" w:rsidRPr="00447ED2" w:rsidRDefault="00447ED2" w:rsidP="00447ED2">
      <w:pPr>
        <w:pStyle w:val="Point0"/>
        <w:numPr>
          <w:ilvl w:val="0"/>
          <w:numId w:val="7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47ED2">
        <w:rPr>
          <w:rFonts w:ascii="Arial" w:hAnsi="Arial" w:cs="Arial"/>
          <w:sz w:val="22"/>
          <w:szCs w:val="22"/>
        </w:rPr>
        <w:t xml:space="preserve">Obnova, zachování a zlepšení ekosystémů závislých na zemědělství a lesnictví </w:t>
      </w:r>
    </w:p>
    <w:p w:rsidR="00447ED2" w:rsidRPr="00447ED2" w:rsidRDefault="00447ED2" w:rsidP="00447ED2">
      <w:pPr>
        <w:pStyle w:val="Point0"/>
        <w:numPr>
          <w:ilvl w:val="0"/>
          <w:numId w:val="7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47ED2">
        <w:rPr>
          <w:rFonts w:ascii="Arial" w:hAnsi="Arial" w:cs="Arial"/>
          <w:sz w:val="22"/>
          <w:szCs w:val="22"/>
        </w:rPr>
        <w:t>Podpora účinného využívání zdrojů a podpora přechodu na nízkouhlíkovou ekonomiku v odvětvích zemědělství, potravinářství a lesnictví</w:t>
      </w:r>
    </w:p>
    <w:p w:rsidR="00447ED2" w:rsidRPr="00447ED2" w:rsidRDefault="00447ED2" w:rsidP="00447ED2">
      <w:pPr>
        <w:pStyle w:val="Point0"/>
        <w:numPr>
          <w:ilvl w:val="0"/>
          <w:numId w:val="7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47ED2">
        <w:rPr>
          <w:rFonts w:ascii="Arial" w:hAnsi="Arial" w:cs="Arial"/>
          <w:sz w:val="22"/>
          <w:szCs w:val="22"/>
        </w:rPr>
        <w:t xml:space="preserve">Podpora sociálního začleňování, snižování chudoby a hospodářského rozvoje ve venkovských oblastech </w:t>
      </w:r>
    </w:p>
    <w:p w:rsidR="00447ED2" w:rsidRPr="00447ED2" w:rsidRDefault="002B11A5" w:rsidP="00447ED2">
      <w:pPr>
        <w:pStyle w:val="Titrearticle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podpora MAS prostřednictvím uplatňování metody </w:t>
      </w:r>
      <w:r w:rsidR="00447ED2" w:rsidRPr="00447ED2">
        <w:rPr>
          <w:rFonts w:ascii="Arial" w:hAnsi="Arial" w:cs="Arial"/>
          <w:i w:val="0"/>
          <w:iCs w:val="0"/>
          <w:sz w:val="22"/>
          <w:szCs w:val="22"/>
        </w:rPr>
        <w:t>LEADER</w:t>
      </w:r>
    </w:p>
    <w:p w:rsidR="002B11A5" w:rsidRDefault="002B11A5" w:rsidP="00447ED2">
      <w:pPr>
        <w:pStyle w:val="Nadpis4"/>
        <w:spacing w:before="0"/>
        <w:rPr>
          <w:rFonts w:ascii="Arial" w:hAnsi="Arial" w:cs="Arial"/>
          <w:b w:val="0"/>
          <w:color w:val="auto"/>
        </w:rPr>
      </w:pPr>
    </w:p>
    <w:p w:rsidR="00447ED2" w:rsidRPr="002B11A5" w:rsidRDefault="002B11A5" w:rsidP="00447ED2">
      <w:pPr>
        <w:pStyle w:val="Nadpis4"/>
        <w:spacing w:before="0"/>
        <w:rPr>
          <w:rFonts w:ascii="Arial" w:hAnsi="Arial" w:cs="Arial"/>
          <w:b w:val="0"/>
          <w:color w:val="auto"/>
          <w:u w:val="single"/>
        </w:rPr>
      </w:pPr>
      <w:r w:rsidRPr="002B11A5">
        <w:rPr>
          <w:rFonts w:ascii="Arial" w:hAnsi="Arial" w:cs="Arial"/>
          <w:b w:val="0"/>
          <w:color w:val="auto"/>
          <w:u w:val="single"/>
        </w:rPr>
        <w:t>OP Rybářství</w:t>
      </w:r>
      <w:r w:rsidR="00447ED2" w:rsidRPr="002B11A5">
        <w:rPr>
          <w:rFonts w:ascii="Arial" w:hAnsi="Arial" w:cs="Arial"/>
          <w:b w:val="0"/>
          <w:color w:val="auto"/>
          <w:u w:val="single"/>
        </w:rPr>
        <w:t>:</w:t>
      </w:r>
    </w:p>
    <w:p w:rsidR="00447ED2" w:rsidRPr="00447ED2" w:rsidRDefault="00447ED2" w:rsidP="002B11A5">
      <w:pPr>
        <w:spacing w:after="0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OP Rybářství 2014–2020 bude pro ČR vypracován na základě nařízení o společných ustanoveních a nařízení o Evropském námořním a rybářském fondu. Bude v souladu s Dohodou o partnerství, národní strategií akvakultury a Plánem řízení úhoře pro řeku Labe a řeku Odru.</w:t>
      </w:r>
      <w:r w:rsidR="002B11A5">
        <w:rPr>
          <w:rFonts w:ascii="Arial" w:hAnsi="Arial" w:cs="Arial"/>
        </w:rPr>
        <w:t xml:space="preserve"> </w:t>
      </w:r>
      <w:r w:rsidRPr="00447ED2">
        <w:rPr>
          <w:rFonts w:ascii="Arial" w:hAnsi="Arial" w:cs="Arial"/>
        </w:rPr>
        <w:t>Prioritami ČR v rybářství jsou:</w:t>
      </w:r>
    </w:p>
    <w:p w:rsidR="00447ED2" w:rsidRPr="00447ED2" w:rsidRDefault="00447ED2" w:rsidP="00447ED2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Investice k posilování konkurenceschopnosti rybářských podniků s neutrálním dopadem na životní prostředí</w:t>
      </w:r>
    </w:p>
    <w:p w:rsidR="00447ED2" w:rsidRPr="00447ED2" w:rsidRDefault="00447ED2" w:rsidP="00447ED2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Propagace akvakultury a podpora konzumace ryb</w:t>
      </w:r>
    </w:p>
    <w:p w:rsidR="00447ED2" w:rsidRPr="00447ED2" w:rsidRDefault="00447ED2" w:rsidP="00447ED2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Vývoj ekologicky šetrných a ekonomicky rentabilních nových technologií chovu ryb a nových výrobků z ryb až po zavedení do produkce v rybářských podnicích</w:t>
      </w:r>
    </w:p>
    <w:p w:rsidR="00447ED2" w:rsidRPr="00447ED2" w:rsidRDefault="00447ED2" w:rsidP="00447ED2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7ED2">
        <w:rPr>
          <w:rFonts w:ascii="Arial" w:hAnsi="Arial" w:cs="Arial"/>
        </w:rPr>
        <w:t>Vysazování úhoře říčního do vodních toků</w:t>
      </w:r>
    </w:p>
    <w:p w:rsidR="00447ED2" w:rsidRDefault="00447ED2" w:rsidP="008A3675">
      <w:pPr>
        <w:jc w:val="both"/>
        <w:rPr>
          <w:rFonts w:ascii="Arial" w:hAnsi="Arial" w:cs="Arial"/>
          <w:bCs/>
        </w:rPr>
      </w:pPr>
    </w:p>
    <w:p w:rsidR="00027C4D" w:rsidRDefault="00027C4D" w:rsidP="008A3675">
      <w:pPr>
        <w:jc w:val="both"/>
        <w:rPr>
          <w:rFonts w:ascii="Arial" w:hAnsi="Arial" w:cs="Arial"/>
          <w:bCs/>
        </w:rPr>
      </w:pPr>
    </w:p>
    <w:p w:rsidR="00027C4D" w:rsidRDefault="00027C4D" w:rsidP="008A3675">
      <w:pPr>
        <w:jc w:val="both"/>
        <w:rPr>
          <w:rFonts w:ascii="Arial" w:hAnsi="Arial" w:cs="Arial"/>
          <w:bCs/>
        </w:rPr>
      </w:pPr>
    </w:p>
    <w:p w:rsidR="00027C4D" w:rsidRDefault="00027C4D" w:rsidP="008A3675">
      <w:pPr>
        <w:jc w:val="both"/>
        <w:rPr>
          <w:rFonts w:ascii="Arial" w:hAnsi="Arial" w:cs="Arial"/>
          <w:bCs/>
        </w:rPr>
      </w:pPr>
    </w:p>
    <w:p w:rsidR="00027C4D" w:rsidRDefault="00027C4D" w:rsidP="008A3675">
      <w:pPr>
        <w:jc w:val="both"/>
        <w:rPr>
          <w:rFonts w:ascii="Arial" w:hAnsi="Arial" w:cs="Arial"/>
          <w:bCs/>
        </w:rPr>
      </w:pPr>
    </w:p>
    <w:p w:rsidR="00027C4D" w:rsidRPr="00267C53" w:rsidRDefault="00027C4D" w:rsidP="00267C53">
      <w:pPr>
        <w:spacing w:after="0"/>
        <w:jc w:val="both"/>
        <w:rPr>
          <w:rFonts w:ascii="Arial" w:hAnsi="Arial" w:cs="Arial"/>
          <w:b/>
        </w:rPr>
      </w:pPr>
      <w:r w:rsidRPr="00267C53">
        <w:rPr>
          <w:rFonts w:ascii="Arial" w:hAnsi="Arial" w:cs="Arial"/>
          <w:b/>
        </w:rPr>
        <w:lastRenderedPageBreak/>
        <w:t>Uplatňování územní dimenze a integrované přístupů v budoucích OP</w:t>
      </w:r>
    </w:p>
    <w:p w:rsidR="00267C53" w:rsidRDefault="00267C53" w:rsidP="00267C53">
      <w:pPr>
        <w:spacing w:after="0" w:line="240" w:lineRule="auto"/>
        <w:jc w:val="both"/>
        <w:rPr>
          <w:rFonts w:ascii="Arial" w:hAnsi="Arial" w:cs="Arial"/>
        </w:rPr>
      </w:pPr>
    </w:p>
    <w:p w:rsidR="00027C4D" w:rsidRPr="00267C53" w:rsidRDefault="00027C4D" w:rsidP="00267C53">
      <w:pPr>
        <w:spacing w:after="0" w:line="240" w:lineRule="auto"/>
        <w:jc w:val="both"/>
        <w:rPr>
          <w:rFonts w:ascii="Arial" w:hAnsi="Arial" w:cs="Arial"/>
        </w:rPr>
      </w:pPr>
      <w:r w:rsidRPr="00267C53">
        <w:rPr>
          <w:rFonts w:ascii="Arial" w:hAnsi="Arial" w:cs="Arial"/>
        </w:rPr>
        <w:t>Lisabonská smlouva rozšiřuje záběr politiky hospodářské a sociální soudržnosti o územní rozměr. Tato skutečnost je reflektována také v návrhu nařízení pro všechny fondy SSR (včetně EZFRV a ENRF), a to jak z hlediska strategického, tak implementačního. Územní rozměr politiky soudržnosti je stanoven na úrovni Evropské unie, na národní úrovni je nutno hledat jeho adekvátní průmět pro jeho řádnou implementaci v českém kontextu. Těmto přístupům je oporou zejména Strategie regionálního rozvoje pro období 2014-2020 (dále jen „SRR“), která stanovuje jak obsah regionálního segmentu intervencí, tak jejich vhodnou formu a instituce podílející se na jejich implementaci. SRR byla v květnu schválena Vládou ČR.</w:t>
      </w:r>
    </w:p>
    <w:p w:rsidR="00B63D15" w:rsidRPr="00267C53" w:rsidRDefault="00B63D15" w:rsidP="00267C5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3EF3" w:rsidRPr="00267C53" w:rsidRDefault="005D3EF3" w:rsidP="00267C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67C53">
        <w:rPr>
          <w:rFonts w:ascii="Arial" w:hAnsi="Arial" w:cs="Arial"/>
          <w:sz w:val="22"/>
          <w:szCs w:val="22"/>
        </w:rPr>
        <w:t xml:space="preserve">Smyslem uplatnění </w:t>
      </w:r>
      <w:r w:rsidRPr="00267C53">
        <w:rPr>
          <w:rFonts w:ascii="Arial" w:hAnsi="Arial" w:cs="Arial"/>
          <w:b/>
          <w:i/>
          <w:sz w:val="22"/>
          <w:szCs w:val="22"/>
        </w:rPr>
        <w:t>územní dimenze</w:t>
      </w:r>
      <w:r w:rsidRPr="00267C53">
        <w:rPr>
          <w:rFonts w:ascii="Arial" w:hAnsi="Arial" w:cs="Arial"/>
          <w:sz w:val="22"/>
          <w:szCs w:val="22"/>
        </w:rPr>
        <w:t xml:space="preserve"> (ÚD) je, aby většina (tam kde to je možné) tematických ale i regionálně zaměřeného OP nebyla koncipována čistě s plošným zaměřením, ale aby reflektovala specifické regionální potřeby či regionální rozdíly, a to z hlediska např. aktérů a jejich spolurozhodovacích pravomocí, míry subsidiarity nebo diferencovaně dle vymezených území. Specifickou kategorii tvoří </w:t>
      </w:r>
      <w:r w:rsidRPr="00267C53">
        <w:rPr>
          <w:rFonts w:ascii="Arial" w:hAnsi="Arial" w:cs="Arial"/>
          <w:b/>
          <w:bCs/>
          <w:i/>
          <w:sz w:val="22"/>
          <w:szCs w:val="22"/>
        </w:rPr>
        <w:t>urbánní dimenze</w:t>
      </w:r>
      <w:r w:rsidRPr="00267C53">
        <w:rPr>
          <w:rFonts w:ascii="Arial" w:hAnsi="Arial" w:cs="Arial"/>
          <w:sz w:val="22"/>
          <w:szCs w:val="22"/>
        </w:rPr>
        <w:t xml:space="preserve">, kde se unikátně protíná tematické, územně správní a prostorové hledisko. Lze očekávat, že </w:t>
      </w:r>
      <w:r w:rsidR="00E369F5">
        <w:rPr>
          <w:rFonts w:ascii="Arial" w:hAnsi="Arial" w:cs="Arial"/>
          <w:sz w:val="22"/>
          <w:szCs w:val="22"/>
        </w:rPr>
        <w:t xml:space="preserve">zejména </w:t>
      </w:r>
      <w:r w:rsidRPr="00267C53">
        <w:rPr>
          <w:rFonts w:ascii="Arial" w:hAnsi="Arial" w:cs="Arial"/>
          <w:sz w:val="22"/>
          <w:szCs w:val="22"/>
        </w:rPr>
        <w:t>města budou připravovat a realizovat výsledkově orientované integrované rozvojové plány, mnohdy překračující jejich katastr, s jasně definovanými synergiemi a s popsanými mechanismy plánování, realizace a hodnocení.</w:t>
      </w:r>
    </w:p>
    <w:p w:rsidR="00B63D15" w:rsidRPr="00267C53" w:rsidRDefault="00B63D15" w:rsidP="00267C5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027C4D" w:rsidRPr="00267C53" w:rsidRDefault="00027C4D" w:rsidP="00267C53">
      <w:pPr>
        <w:spacing w:after="0" w:line="240" w:lineRule="auto"/>
        <w:jc w:val="both"/>
        <w:rPr>
          <w:rFonts w:ascii="Arial" w:hAnsi="Arial" w:cs="Arial"/>
        </w:rPr>
      </w:pPr>
      <w:r w:rsidRPr="00267C53">
        <w:rPr>
          <w:rFonts w:ascii="Arial" w:hAnsi="Arial" w:cs="Arial"/>
          <w:b/>
          <w:bCs/>
          <w:i/>
          <w:iCs/>
        </w:rPr>
        <w:t>Integrované přístupy</w:t>
      </w:r>
      <w:r w:rsidR="005D3EF3" w:rsidRPr="00267C53">
        <w:rPr>
          <w:rFonts w:ascii="Arial" w:hAnsi="Arial" w:cs="Arial"/>
          <w:b/>
          <w:bCs/>
          <w:i/>
          <w:iCs/>
        </w:rPr>
        <w:t xml:space="preserve"> </w:t>
      </w:r>
      <w:r w:rsidR="005D3EF3" w:rsidRPr="00267C53">
        <w:rPr>
          <w:rFonts w:ascii="Arial" w:hAnsi="Arial" w:cs="Arial"/>
          <w:bCs/>
          <w:iCs/>
        </w:rPr>
        <w:t>(IP)</w:t>
      </w:r>
      <w:r w:rsidRPr="00267C53">
        <w:rPr>
          <w:rFonts w:ascii="Arial" w:hAnsi="Arial" w:cs="Arial"/>
          <w:b/>
          <w:bCs/>
          <w:i/>
          <w:iCs/>
        </w:rPr>
        <w:t xml:space="preserve"> </w:t>
      </w:r>
      <w:r w:rsidRPr="00267C53">
        <w:rPr>
          <w:rFonts w:ascii="Arial" w:hAnsi="Arial" w:cs="Arial"/>
          <w:bCs/>
          <w:iCs/>
        </w:rPr>
        <w:t>na regionální úrovni</w:t>
      </w:r>
      <w:r w:rsidRPr="00267C53">
        <w:rPr>
          <w:rFonts w:ascii="Arial" w:hAnsi="Arial" w:cs="Arial"/>
        </w:rPr>
        <w:t xml:space="preserve"> představují z pohledu regionálního rozvoje zvláštní nástroj pro uplatnění územní dimenze. Jejich přínosem je zejména dosažení vyšší kvality strategického plánování, řízení a efektivnější (zesilující a synergický efekt) vynakládání finančních prostředků. Zároveň představují z pohledu EU silně prosazovan</w:t>
      </w:r>
      <w:r w:rsidR="005D3EF3" w:rsidRPr="00267C53">
        <w:rPr>
          <w:rFonts w:ascii="Arial" w:hAnsi="Arial" w:cs="Arial"/>
        </w:rPr>
        <w:t xml:space="preserve">ý způsob implementace fondů EU </w:t>
      </w:r>
      <w:r w:rsidRPr="00267C53">
        <w:rPr>
          <w:rFonts w:ascii="Arial" w:hAnsi="Arial" w:cs="Arial"/>
        </w:rPr>
        <w:t xml:space="preserve">v rozvoji regionů, měst a obcí. Základním principem uplatnění integrovaných přístupů bude </w:t>
      </w:r>
      <w:r w:rsidRPr="00267C53">
        <w:rPr>
          <w:rFonts w:ascii="Arial" w:hAnsi="Arial" w:cs="Arial"/>
          <w:bCs/>
        </w:rPr>
        <w:t>věcná</w:t>
      </w:r>
      <w:r w:rsidRPr="00267C53">
        <w:rPr>
          <w:rFonts w:ascii="Arial" w:hAnsi="Arial" w:cs="Arial"/>
        </w:rPr>
        <w:t xml:space="preserve"> (vhodně a logicky provázané a potřebné tematické/sektorové intervence), </w:t>
      </w:r>
      <w:r w:rsidRPr="00267C53">
        <w:rPr>
          <w:rFonts w:ascii="Arial" w:hAnsi="Arial" w:cs="Arial"/>
          <w:bCs/>
        </w:rPr>
        <w:t>územní</w:t>
      </w:r>
      <w:r w:rsidRPr="00267C53">
        <w:rPr>
          <w:rFonts w:ascii="Arial" w:hAnsi="Arial" w:cs="Arial"/>
        </w:rPr>
        <w:t xml:space="preserve"> (realizace intervencí ve vhodném, geograficky a ekonomicky spojeném území) a </w:t>
      </w:r>
      <w:r w:rsidRPr="00267C53">
        <w:rPr>
          <w:rFonts w:ascii="Arial" w:hAnsi="Arial" w:cs="Arial"/>
          <w:bCs/>
        </w:rPr>
        <w:t>časová</w:t>
      </w:r>
      <w:r w:rsidRPr="00267C53">
        <w:rPr>
          <w:rFonts w:ascii="Arial" w:hAnsi="Arial" w:cs="Arial"/>
        </w:rPr>
        <w:t xml:space="preserve"> (realisticky připravený harmonogram a časové a věcné sladění předpokládaných intervencí) </w:t>
      </w:r>
      <w:r w:rsidRPr="00267C53">
        <w:rPr>
          <w:rFonts w:ascii="Arial" w:hAnsi="Arial" w:cs="Arial"/>
          <w:bCs/>
        </w:rPr>
        <w:t>provázanost</w:t>
      </w:r>
      <w:r w:rsidRPr="00267C53">
        <w:rPr>
          <w:rFonts w:ascii="Arial" w:hAnsi="Arial" w:cs="Arial"/>
        </w:rPr>
        <w:t xml:space="preserve"> intervencí realizovaná na základě kvalitní </w:t>
      </w:r>
      <w:r w:rsidRPr="00267C53">
        <w:rPr>
          <w:rFonts w:ascii="Arial" w:hAnsi="Arial" w:cs="Arial"/>
          <w:bCs/>
        </w:rPr>
        <w:t>strategie</w:t>
      </w:r>
      <w:r w:rsidRPr="00267C53">
        <w:rPr>
          <w:rFonts w:ascii="Arial" w:hAnsi="Arial" w:cs="Arial"/>
        </w:rPr>
        <w:t xml:space="preserve"> rozvoje území. Důležitým aspektem strategie rozvoje území nebude množství a obsahová šíře v nich uvedených a následně realizovaných projektů, ale splnění je</w:t>
      </w:r>
      <w:r w:rsidR="005D3EF3" w:rsidRPr="00267C53">
        <w:rPr>
          <w:rFonts w:ascii="Arial" w:hAnsi="Arial" w:cs="Arial"/>
        </w:rPr>
        <w:t xml:space="preserve">jich předem definovaných cílů, </w:t>
      </w:r>
      <w:r w:rsidRPr="00267C53">
        <w:rPr>
          <w:rFonts w:ascii="Arial" w:hAnsi="Arial" w:cs="Arial"/>
        </w:rPr>
        <w:t>tzn. celkový výsledek odpovídající potřebám daného území.</w:t>
      </w:r>
      <w:r w:rsidR="00CB5CB9" w:rsidRPr="00267C53">
        <w:rPr>
          <w:rFonts w:ascii="Arial" w:eastAsia="Calibri" w:hAnsi="Arial" w:cs="Arial"/>
        </w:rPr>
        <w:t xml:space="preserve"> IP by měly být </w:t>
      </w:r>
      <w:r w:rsidR="001B61C0" w:rsidRPr="00267C53">
        <w:rPr>
          <w:rFonts w:ascii="Arial" w:eastAsia="Calibri" w:hAnsi="Arial" w:cs="Arial"/>
        </w:rPr>
        <w:t>uplatňovány</w:t>
      </w:r>
      <w:r w:rsidR="00CB5CB9" w:rsidRPr="00267C53">
        <w:rPr>
          <w:rFonts w:ascii="Arial" w:eastAsia="Calibri" w:hAnsi="Arial" w:cs="Arial"/>
        </w:rPr>
        <w:t xml:space="preserve"> i nastavením synergií mezi intervencemi prioritních os operačních programů a mezi operačními programy samotnými.</w:t>
      </w:r>
    </w:p>
    <w:p w:rsidR="00B63D15" w:rsidRPr="00267C53" w:rsidRDefault="00B63D15" w:rsidP="00267C53">
      <w:pPr>
        <w:spacing w:after="0"/>
        <w:jc w:val="both"/>
        <w:rPr>
          <w:rFonts w:ascii="Arial" w:hAnsi="Arial" w:cs="Arial"/>
        </w:rPr>
      </w:pPr>
    </w:p>
    <w:p w:rsidR="00946AB7" w:rsidRPr="00267C53" w:rsidRDefault="00946AB7" w:rsidP="00946A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území ČR se nyní počítá s</w:t>
      </w:r>
      <w:r w:rsidR="00D431E9">
        <w:rPr>
          <w:rFonts w:ascii="Arial" w:hAnsi="Arial" w:cs="Arial"/>
        </w:rPr>
        <w:t xml:space="preserve"> aplikací</w:t>
      </w:r>
      <w:r>
        <w:rPr>
          <w:rFonts w:ascii="Arial" w:hAnsi="Arial" w:cs="Arial"/>
        </w:rPr>
        <w:t> tě</w:t>
      </w:r>
      <w:r w:rsidR="00D431E9">
        <w:rPr>
          <w:rFonts w:ascii="Arial" w:hAnsi="Arial" w:cs="Arial"/>
        </w:rPr>
        <w:t>chto</w:t>
      </w:r>
      <w:r>
        <w:rPr>
          <w:rFonts w:ascii="Arial" w:hAnsi="Arial" w:cs="Arial"/>
        </w:rPr>
        <w:t xml:space="preserve"> integrovaný</w:t>
      </w:r>
      <w:r w:rsidR="00D431E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přístup</w:t>
      </w:r>
      <w:r w:rsidR="00D431E9">
        <w:rPr>
          <w:rFonts w:ascii="Arial" w:hAnsi="Arial" w:cs="Arial"/>
        </w:rPr>
        <w:t>ů</w:t>
      </w:r>
      <w:r w:rsidRPr="00267C53">
        <w:rPr>
          <w:rFonts w:ascii="Arial" w:hAnsi="Arial" w:cs="Arial"/>
        </w:rPr>
        <w:t>:</w:t>
      </w:r>
    </w:p>
    <w:p w:rsidR="00946AB7" w:rsidRPr="00267C53" w:rsidRDefault="00946AB7" w:rsidP="00946AB7">
      <w:pPr>
        <w:spacing w:after="0" w:line="240" w:lineRule="auto"/>
        <w:jc w:val="both"/>
        <w:rPr>
          <w:rFonts w:ascii="Arial" w:hAnsi="Arial" w:cs="Arial"/>
        </w:rPr>
      </w:pPr>
      <w:r w:rsidRPr="00946AB7">
        <w:rPr>
          <w:rFonts w:ascii="Arial" w:hAnsi="Arial" w:cs="Arial"/>
          <w:b/>
          <w:i/>
        </w:rPr>
        <w:t>Integrované územní investice</w:t>
      </w:r>
      <w:r w:rsidRPr="00267C53">
        <w:rPr>
          <w:rFonts w:ascii="Arial" w:hAnsi="Arial" w:cs="Arial"/>
        </w:rPr>
        <w:t xml:space="preserve"> („ITI“ – Integrated Territorial Investments)</w:t>
      </w:r>
    </w:p>
    <w:p w:rsidR="00CE037D" w:rsidRDefault="00946AB7" w:rsidP="00946A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nástroj urbánní dimenze, který by měl být uplatněn na území šesti největších aglomerací </w:t>
      </w:r>
      <w:r w:rsidRPr="00267C53">
        <w:rPr>
          <w:rFonts w:ascii="Arial" w:hAnsi="Arial" w:cs="Arial"/>
        </w:rPr>
        <w:t>(Praha, Brno, Ostrava, Plzeň a oblast Hradecko-Pardubická a Ústecko-Chomutovská)</w:t>
      </w:r>
      <w:r>
        <w:rPr>
          <w:rFonts w:ascii="Arial" w:hAnsi="Arial" w:cs="Arial"/>
        </w:rPr>
        <w:t xml:space="preserve"> a Kraje Vysočina se tedy netýká. I</w:t>
      </w:r>
      <w:r w:rsidRPr="00267C53">
        <w:rPr>
          <w:rFonts w:ascii="Arial" w:hAnsi="Arial" w:cs="Arial"/>
        </w:rPr>
        <w:t xml:space="preserve">nvestice </w:t>
      </w:r>
      <w:r>
        <w:rPr>
          <w:rFonts w:ascii="Arial" w:hAnsi="Arial" w:cs="Arial"/>
        </w:rPr>
        <w:t xml:space="preserve">budou </w:t>
      </w:r>
      <w:r w:rsidRPr="00267C53">
        <w:rPr>
          <w:rFonts w:ascii="Arial" w:hAnsi="Arial" w:cs="Arial"/>
        </w:rPr>
        <w:t>možné z více než jedné prioritní osy OP a případně z více než jednoho fondu. Pro tyto oblasti bude alokováno minimálně 5 procent prostředků EFRR na národní úrovni</w:t>
      </w:r>
      <w:r w:rsidR="00CE037D">
        <w:rPr>
          <w:rFonts w:ascii="Arial" w:hAnsi="Arial" w:cs="Arial"/>
        </w:rPr>
        <w:t>.</w:t>
      </w:r>
    </w:p>
    <w:p w:rsidR="00946AB7" w:rsidRPr="00267C53" w:rsidRDefault="00946AB7" w:rsidP="00946AB7">
      <w:pPr>
        <w:spacing w:after="0" w:line="240" w:lineRule="auto"/>
        <w:jc w:val="both"/>
        <w:rPr>
          <w:rFonts w:ascii="Arial" w:hAnsi="Arial" w:cs="Arial"/>
        </w:rPr>
      </w:pPr>
      <w:r w:rsidRPr="00946AB7">
        <w:rPr>
          <w:rFonts w:ascii="Arial" w:hAnsi="Arial" w:cs="Arial"/>
          <w:b/>
          <w:i/>
        </w:rPr>
        <w:t>Integrované plány rozvoje území</w:t>
      </w:r>
      <w:r w:rsidRPr="00267C53">
        <w:rPr>
          <w:rFonts w:ascii="Arial" w:hAnsi="Arial" w:cs="Arial"/>
        </w:rPr>
        <w:t xml:space="preserve"> (dále jen „IPRÚ“) – jsou integrované strategické dokumenty analyzující vymezené území, popisující konkrétní problémy a potřeby vymezeného území, cíle a priority z nich vycházející a vzájemně provázané investiční záměry, kterými bude navržených cílů dosaženo. IPRÚ je dokumentem výrazně zaměřeným na dosažení konkrétních výsledků. Jeho financování je postaveno na zdrojích fondů EU, ale je nezbytné doplnění i zdrojů vlastních a privátních. IPRÚ umožňuje také zapojení dalších finančních či úvěrových nástrojů. Částečně navazuje na nástroj IPRM, je však dokumentem s širší územní působností.</w:t>
      </w:r>
      <w:r>
        <w:rPr>
          <w:rFonts w:ascii="Arial" w:hAnsi="Arial" w:cs="Arial"/>
        </w:rPr>
        <w:t xml:space="preserve"> Primárně se s využitím IPRÚ počítá na území měst a jejich zázemí.</w:t>
      </w:r>
    </w:p>
    <w:p w:rsidR="00946AB7" w:rsidRPr="00267C53" w:rsidRDefault="00946AB7" w:rsidP="00946AB7">
      <w:pPr>
        <w:spacing w:after="0" w:line="240" w:lineRule="auto"/>
        <w:jc w:val="both"/>
        <w:rPr>
          <w:rFonts w:ascii="Arial" w:hAnsi="Arial" w:cs="Arial"/>
        </w:rPr>
      </w:pPr>
      <w:r w:rsidRPr="00946AB7">
        <w:rPr>
          <w:rFonts w:ascii="Arial" w:hAnsi="Arial" w:cs="Arial"/>
          <w:b/>
          <w:i/>
        </w:rPr>
        <w:t>Komunitně vedený místní rozvoj</w:t>
      </w:r>
      <w:r w:rsidRPr="00267C53">
        <w:rPr>
          <w:rFonts w:ascii="Arial" w:hAnsi="Arial" w:cs="Arial"/>
        </w:rPr>
        <w:t xml:space="preserve"> (dále jen „CLLD“ – Community-led Local Development) – MAS – </w:t>
      </w:r>
      <w:r w:rsidR="00513FD6">
        <w:rPr>
          <w:rFonts w:ascii="Arial" w:hAnsi="Arial" w:cs="Arial"/>
        </w:rPr>
        <w:t>a</w:t>
      </w:r>
      <w:r w:rsidRPr="00267C53">
        <w:rPr>
          <w:rFonts w:ascii="Arial" w:hAnsi="Arial" w:cs="Arial"/>
        </w:rPr>
        <w:t xml:space="preserve">plikace tohoto nástroje vychází ze současné podoby programu LEADER </w:t>
      </w:r>
      <w:r w:rsidRPr="00267C53">
        <w:rPr>
          <w:rFonts w:ascii="Arial" w:hAnsi="Arial" w:cs="Arial"/>
        </w:rPr>
        <w:lastRenderedPageBreak/>
        <w:t xml:space="preserve">podporovaného z Evropského fondu pro zemědělství a rozvoj venkova. CLLD je nástroj určený pro konkrétní území, na něž se váže jeden či více tematických cílů fondů EU. Místní rozvoj vedený komunitou může být financován z více fondů a je zacílen na lokální rozvoj a rozvoj venkova. </w:t>
      </w:r>
      <w:r>
        <w:rPr>
          <w:rFonts w:ascii="Arial" w:hAnsi="Arial" w:cs="Arial"/>
        </w:rPr>
        <w:t>Týká se území místních akčních skupin (MAS).</w:t>
      </w:r>
    </w:p>
    <w:p w:rsidR="00946AB7" w:rsidRPr="00267C53" w:rsidRDefault="00946AB7" w:rsidP="00946AB7">
      <w:pPr>
        <w:spacing w:after="0" w:line="240" w:lineRule="auto"/>
        <w:jc w:val="both"/>
        <w:rPr>
          <w:rFonts w:ascii="Arial" w:hAnsi="Arial" w:cs="Arial"/>
        </w:rPr>
      </w:pPr>
      <w:r w:rsidRPr="00946AB7">
        <w:rPr>
          <w:rFonts w:ascii="Arial" w:hAnsi="Arial" w:cs="Arial"/>
          <w:b/>
          <w:i/>
        </w:rPr>
        <w:t>Společný akční plán</w:t>
      </w:r>
      <w:r w:rsidRPr="00267C53">
        <w:rPr>
          <w:rFonts w:ascii="Arial" w:hAnsi="Arial" w:cs="Arial"/>
        </w:rPr>
        <w:t xml:space="preserve"> (dále jen „JAP“ – Joint Action Plan) – </w:t>
      </w:r>
      <w:r w:rsidR="00513FD6">
        <w:rPr>
          <w:rFonts w:ascii="Arial" w:hAnsi="Arial" w:cs="Arial"/>
        </w:rPr>
        <w:t>JAP</w:t>
      </w:r>
      <w:r w:rsidRPr="00267C53">
        <w:rPr>
          <w:rFonts w:ascii="Arial" w:hAnsi="Arial" w:cs="Arial"/>
        </w:rPr>
        <w:t xml:space="preserve"> je určen pro příjemce (veřejný subjekt) se skupinou projektů z jednoho nebo více OP. Minimální objem je 10 milionů euro nebo 20 procent z OP podle toho, která částka je menší. Návrh zatím vylučuje investiční činnost a je tak určen především pro aktivity ESF. V podmínkách České republiky nebude patřit mezi nástroje s územní dimenzí a jeho případné využití nebude široké.</w:t>
      </w:r>
    </w:p>
    <w:p w:rsidR="00946AB7" w:rsidRDefault="00946AB7" w:rsidP="00946AB7">
      <w:pPr>
        <w:spacing w:after="0" w:line="240" w:lineRule="auto"/>
        <w:jc w:val="both"/>
        <w:rPr>
          <w:rFonts w:ascii="Arial" w:hAnsi="Arial" w:cs="Arial"/>
        </w:rPr>
      </w:pPr>
    </w:p>
    <w:p w:rsidR="00027C4D" w:rsidRPr="00267C53" w:rsidRDefault="00027C4D" w:rsidP="00267C53">
      <w:pPr>
        <w:spacing w:after="0" w:line="240" w:lineRule="auto"/>
        <w:jc w:val="both"/>
        <w:rPr>
          <w:rFonts w:ascii="Arial" w:hAnsi="Arial" w:cs="Arial"/>
        </w:rPr>
      </w:pPr>
      <w:r w:rsidRPr="00267C53">
        <w:rPr>
          <w:rFonts w:ascii="Arial" w:hAnsi="Arial" w:cs="Arial"/>
        </w:rPr>
        <w:t xml:space="preserve">Pro nejhodnější nastavení těchto přístupů v prostředí České republiky byla zřízena Pracovní skupina k integrovaným přístupům a územní dimenzi </w:t>
      </w:r>
      <w:r w:rsidR="00B63D15" w:rsidRPr="00267C53">
        <w:rPr>
          <w:rFonts w:ascii="Arial" w:hAnsi="Arial" w:cs="Arial"/>
        </w:rPr>
        <w:t>(</w:t>
      </w:r>
      <w:r w:rsidRPr="00267C53">
        <w:rPr>
          <w:rFonts w:ascii="Arial" w:hAnsi="Arial" w:cs="Arial"/>
        </w:rPr>
        <w:t xml:space="preserve">PS IPÚD). Ta je řízena MMR a dalšími členy jsou zástupci jednotlivých řídících orgánů operačních programů </w:t>
      </w:r>
      <w:r w:rsidR="00C210A3">
        <w:rPr>
          <w:rFonts w:ascii="Arial" w:hAnsi="Arial" w:cs="Arial"/>
        </w:rPr>
        <w:t>(</w:t>
      </w:r>
      <w:r w:rsidRPr="00267C53">
        <w:rPr>
          <w:rFonts w:ascii="Arial" w:hAnsi="Arial" w:cs="Arial"/>
        </w:rPr>
        <w:t>tedy jednotlivých ministerstev</w:t>
      </w:r>
      <w:r w:rsidR="00C210A3">
        <w:rPr>
          <w:rFonts w:ascii="Arial" w:hAnsi="Arial" w:cs="Arial"/>
        </w:rPr>
        <w:t>)</w:t>
      </w:r>
      <w:r w:rsidRPr="00267C53">
        <w:rPr>
          <w:rFonts w:ascii="Arial" w:hAnsi="Arial" w:cs="Arial"/>
        </w:rPr>
        <w:t>, krajů</w:t>
      </w:r>
      <w:r w:rsidR="00B63D15" w:rsidRPr="00267C53">
        <w:rPr>
          <w:rFonts w:ascii="Arial" w:hAnsi="Arial" w:cs="Arial"/>
        </w:rPr>
        <w:t xml:space="preserve"> (včetně Kraje Vysočina)</w:t>
      </w:r>
      <w:r w:rsidRPr="00267C53">
        <w:rPr>
          <w:rFonts w:ascii="Arial" w:hAnsi="Arial" w:cs="Arial"/>
        </w:rPr>
        <w:t xml:space="preserve"> a celonárodní</w:t>
      </w:r>
      <w:r w:rsidR="00C210A3">
        <w:rPr>
          <w:rFonts w:ascii="Arial" w:hAnsi="Arial" w:cs="Arial"/>
        </w:rPr>
        <w:t>ch</w:t>
      </w:r>
      <w:r w:rsidRPr="00267C53">
        <w:rPr>
          <w:rFonts w:ascii="Arial" w:hAnsi="Arial" w:cs="Arial"/>
        </w:rPr>
        <w:t xml:space="preserve"> zastřešující</w:t>
      </w:r>
      <w:r w:rsidR="00C210A3">
        <w:rPr>
          <w:rFonts w:ascii="Arial" w:hAnsi="Arial" w:cs="Arial"/>
        </w:rPr>
        <w:t>ch</w:t>
      </w:r>
      <w:r w:rsidRPr="00267C53">
        <w:rPr>
          <w:rFonts w:ascii="Arial" w:hAnsi="Arial" w:cs="Arial"/>
        </w:rPr>
        <w:t xml:space="preserve"> organizac</w:t>
      </w:r>
      <w:r w:rsidR="00C210A3">
        <w:rPr>
          <w:rFonts w:ascii="Arial" w:hAnsi="Arial" w:cs="Arial"/>
        </w:rPr>
        <w:t>í</w:t>
      </w:r>
      <w:r w:rsidRPr="00267C53">
        <w:rPr>
          <w:rFonts w:ascii="Arial" w:hAnsi="Arial" w:cs="Arial"/>
        </w:rPr>
        <w:t xml:space="preserve"> jako</w:t>
      </w:r>
      <w:r w:rsidR="00C210A3">
        <w:rPr>
          <w:rFonts w:ascii="Arial" w:hAnsi="Arial" w:cs="Arial"/>
        </w:rPr>
        <w:t xml:space="preserve"> je</w:t>
      </w:r>
      <w:r w:rsidRPr="00267C53">
        <w:rPr>
          <w:rFonts w:ascii="Arial" w:hAnsi="Arial" w:cs="Arial"/>
        </w:rPr>
        <w:t xml:space="preserve"> Svaz měst a obcí, Sdružení místních samospráv</w:t>
      </w:r>
      <w:r w:rsidR="00C210A3">
        <w:rPr>
          <w:rFonts w:ascii="Arial" w:hAnsi="Arial" w:cs="Arial"/>
        </w:rPr>
        <w:t>,</w:t>
      </w:r>
      <w:r w:rsidRPr="00267C53">
        <w:rPr>
          <w:rFonts w:ascii="Arial" w:hAnsi="Arial" w:cs="Arial"/>
        </w:rPr>
        <w:t xml:space="preserve"> Agentura pro sociální začleňování</w:t>
      </w:r>
      <w:r w:rsidR="00C210A3">
        <w:rPr>
          <w:rFonts w:ascii="Arial" w:hAnsi="Arial" w:cs="Arial"/>
        </w:rPr>
        <w:t xml:space="preserve"> atd.</w:t>
      </w:r>
      <w:r w:rsidR="00B63D15" w:rsidRPr="00267C53">
        <w:rPr>
          <w:rFonts w:ascii="Arial" w:hAnsi="Arial" w:cs="Arial"/>
        </w:rPr>
        <w:t xml:space="preserve"> </w:t>
      </w:r>
      <w:r w:rsidRPr="00267C53">
        <w:rPr>
          <w:rFonts w:ascii="Arial" w:hAnsi="Arial" w:cs="Arial"/>
        </w:rPr>
        <w:t xml:space="preserve">Ze strany MMR byl zpracován první návrh metodického pokynu, jehož cílem je poskytnout </w:t>
      </w:r>
      <w:r w:rsidR="00B63D15" w:rsidRPr="00267C53">
        <w:rPr>
          <w:rFonts w:ascii="Arial" w:hAnsi="Arial" w:cs="Arial"/>
        </w:rPr>
        <w:t>ř</w:t>
      </w:r>
      <w:r w:rsidRPr="00267C53">
        <w:rPr>
          <w:rFonts w:ascii="Arial" w:hAnsi="Arial" w:cs="Arial"/>
        </w:rPr>
        <w:t xml:space="preserve">ídicím orgánům </w:t>
      </w:r>
      <w:r w:rsidR="00B63D15" w:rsidRPr="00267C53">
        <w:rPr>
          <w:rFonts w:ascii="Arial" w:hAnsi="Arial" w:cs="Arial"/>
        </w:rPr>
        <w:t>OP</w:t>
      </w:r>
      <w:r w:rsidRPr="00267C53">
        <w:rPr>
          <w:rFonts w:ascii="Arial" w:hAnsi="Arial" w:cs="Arial"/>
        </w:rPr>
        <w:t>, budoucím žadatelům, zpracovatelům integrovaných strategií rozvoje území i dalším zapojeným partnerům přehledné a závazné postupy pro zpracování těchto dokumentů</w:t>
      </w:r>
      <w:r w:rsidR="00B63D15" w:rsidRPr="00267C53">
        <w:rPr>
          <w:rFonts w:ascii="Arial" w:hAnsi="Arial" w:cs="Arial"/>
        </w:rPr>
        <w:t>.</w:t>
      </w:r>
      <w:r w:rsidRPr="00267C53">
        <w:rPr>
          <w:rFonts w:ascii="Arial" w:hAnsi="Arial" w:cs="Arial"/>
        </w:rPr>
        <w:t xml:space="preserve"> </w:t>
      </w:r>
    </w:p>
    <w:p w:rsidR="00267C53" w:rsidRDefault="00267C53" w:rsidP="00267C5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B63D15" w:rsidRPr="00267C53" w:rsidRDefault="00B63D15" w:rsidP="00267C5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67C53">
        <w:rPr>
          <w:rFonts w:ascii="Arial" w:hAnsi="Arial" w:cs="Arial"/>
        </w:rPr>
        <w:t>Metodický pokyn řeší integrovaný rozvoj zejména na úrovni měst a</w:t>
      </w:r>
      <w:r w:rsidR="00040171">
        <w:rPr>
          <w:rFonts w:ascii="Arial" w:hAnsi="Arial" w:cs="Arial"/>
        </w:rPr>
        <w:t xml:space="preserve"> jejich</w:t>
      </w:r>
      <w:r w:rsidRPr="00267C53">
        <w:rPr>
          <w:rFonts w:ascii="Arial" w:hAnsi="Arial" w:cs="Arial"/>
        </w:rPr>
        <w:t xml:space="preserve"> zázemí nebo jiných plošně menších územích</w:t>
      </w:r>
      <w:r w:rsidR="009B6708" w:rsidRPr="00267C53">
        <w:rPr>
          <w:rFonts w:ascii="Arial" w:hAnsi="Arial" w:cs="Arial"/>
        </w:rPr>
        <w:t xml:space="preserve"> (</w:t>
      </w:r>
      <w:r w:rsidR="00C210A3">
        <w:rPr>
          <w:rFonts w:ascii="Arial" w:hAnsi="Arial" w:cs="Arial"/>
        </w:rPr>
        <w:t xml:space="preserve">např. </w:t>
      </w:r>
      <w:r w:rsidR="009B6708" w:rsidRPr="00267C53">
        <w:rPr>
          <w:rFonts w:ascii="Arial" w:hAnsi="Arial" w:cs="Arial"/>
        </w:rPr>
        <w:t>MAS)</w:t>
      </w:r>
      <w:r w:rsidRPr="00267C53">
        <w:rPr>
          <w:rFonts w:ascii="Arial" w:hAnsi="Arial" w:cs="Arial"/>
        </w:rPr>
        <w:t xml:space="preserve"> a krajům připisuje pouze roli koordinační či pozorovací. </w:t>
      </w:r>
      <w:r w:rsidR="00040171">
        <w:rPr>
          <w:rFonts w:ascii="Arial" w:hAnsi="Arial" w:cs="Arial"/>
        </w:rPr>
        <w:t>Kraje by měly být zapojeny ve</w:t>
      </w:r>
      <w:r w:rsidRPr="00267C53">
        <w:rPr>
          <w:rFonts w:ascii="Arial" w:hAnsi="Arial" w:cs="Arial"/>
        </w:rPr>
        <w:t xml:space="preserve"> fázi programování </w:t>
      </w:r>
      <w:r w:rsidR="00040171">
        <w:rPr>
          <w:rFonts w:ascii="Arial" w:hAnsi="Arial" w:cs="Arial"/>
        </w:rPr>
        <w:t>a</w:t>
      </w:r>
      <w:r w:rsidR="009B6708" w:rsidRPr="00267C53">
        <w:rPr>
          <w:rFonts w:ascii="Arial" w:hAnsi="Arial" w:cs="Arial"/>
        </w:rPr>
        <w:t xml:space="preserve"> měly </w:t>
      </w:r>
      <w:r w:rsidR="00040171">
        <w:rPr>
          <w:rFonts w:ascii="Arial" w:hAnsi="Arial" w:cs="Arial"/>
        </w:rPr>
        <w:t xml:space="preserve">by </w:t>
      </w:r>
      <w:r w:rsidRPr="00267C53">
        <w:rPr>
          <w:rFonts w:ascii="Arial" w:hAnsi="Arial" w:cs="Arial"/>
        </w:rPr>
        <w:t>koordin</w:t>
      </w:r>
      <w:r w:rsidR="009B6708" w:rsidRPr="00267C53">
        <w:rPr>
          <w:rFonts w:ascii="Arial" w:hAnsi="Arial" w:cs="Arial"/>
        </w:rPr>
        <w:t>ovat</w:t>
      </w:r>
      <w:r w:rsidRPr="00267C53">
        <w:rPr>
          <w:rFonts w:ascii="Arial" w:hAnsi="Arial" w:cs="Arial"/>
        </w:rPr>
        <w:t xml:space="preserve"> aktivity regionálních aktérů, spoluprac</w:t>
      </w:r>
      <w:r w:rsidR="009B6708" w:rsidRPr="00267C53">
        <w:rPr>
          <w:rFonts w:ascii="Arial" w:hAnsi="Arial" w:cs="Arial"/>
        </w:rPr>
        <w:t>ovat</w:t>
      </w:r>
      <w:r w:rsidRPr="00267C53">
        <w:rPr>
          <w:rFonts w:ascii="Arial" w:hAnsi="Arial" w:cs="Arial"/>
        </w:rPr>
        <w:t xml:space="preserve"> v rámci svého územního obvodu se všemi partnery a podí</w:t>
      </w:r>
      <w:r w:rsidR="009B6708" w:rsidRPr="00267C53">
        <w:rPr>
          <w:rFonts w:ascii="Arial" w:hAnsi="Arial" w:cs="Arial"/>
        </w:rPr>
        <w:t>let</w:t>
      </w:r>
      <w:r w:rsidRPr="00267C53">
        <w:rPr>
          <w:rFonts w:ascii="Arial" w:hAnsi="Arial" w:cs="Arial"/>
        </w:rPr>
        <w:t xml:space="preserve"> se na územním vymezení vhodných integrovaných nástrojů. V rámci partnerských struktur vzniklých pro jednotlivé integrované nástroje </w:t>
      </w:r>
      <w:r w:rsidR="009B6708" w:rsidRPr="00267C53">
        <w:rPr>
          <w:rFonts w:ascii="Arial" w:hAnsi="Arial" w:cs="Arial"/>
        </w:rPr>
        <w:t xml:space="preserve">by měly </w:t>
      </w:r>
      <w:r w:rsidRPr="00267C53">
        <w:rPr>
          <w:rFonts w:ascii="Arial" w:hAnsi="Arial" w:cs="Arial"/>
        </w:rPr>
        <w:t>projednáva</w:t>
      </w:r>
      <w:r w:rsidR="009B6708" w:rsidRPr="00267C53">
        <w:rPr>
          <w:rFonts w:ascii="Arial" w:hAnsi="Arial" w:cs="Arial"/>
        </w:rPr>
        <w:t>t</w:t>
      </w:r>
      <w:r w:rsidRPr="00267C53">
        <w:rPr>
          <w:rFonts w:ascii="Arial" w:hAnsi="Arial" w:cs="Arial"/>
        </w:rPr>
        <w:t xml:space="preserve"> a schval</w:t>
      </w:r>
      <w:r w:rsidR="009B6708" w:rsidRPr="00267C53">
        <w:rPr>
          <w:rFonts w:ascii="Arial" w:hAnsi="Arial" w:cs="Arial"/>
        </w:rPr>
        <w:t>ovat</w:t>
      </w:r>
      <w:r w:rsidRPr="00267C53">
        <w:rPr>
          <w:rFonts w:ascii="Arial" w:hAnsi="Arial" w:cs="Arial"/>
        </w:rPr>
        <w:t xml:space="preserve"> soulad integrovaných rozvojových strategií s jejich krajskými strategickými rozvojovými dokumenty (PRK, Strategie rozvoje kraje příp. další).</w:t>
      </w:r>
    </w:p>
    <w:p w:rsidR="009B6708" w:rsidRPr="00267C53" w:rsidRDefault="009B6708" w:rsidP="00267C5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9B6708" w:rsidRPr="00267C53" w:rsidRDefault="009B6708" w:rsidP="00267C53">
      <w:pPr>
        <w:spacing w:after="0" w:line="240" w:lineRule="auto"/>
        <w:jc w:val="both"/>
        <w:rPr>
          <w:rFonts w:ascii="Arial" w:hAnsi="Arial" w:cs="Arial"/>
        </w:rPr>
      </w:pPr>
      <w:r w:rsidRPr="00267C53">
        <w:rPr>
          <w:rFonts w:ascii="Arial" w:hAnsi="Arial" w:cs="Arial"/>
        </w:rPr>
        <w:t>I z těchto důvodů Asociace krajů</w:t>
      </w:r>
      <w:r w:rsidR="00C210A3">
        <w:rPr>
          <w:rFonts w:ascii="Arial" w:hAnsi="Arial" w:cs="Arial"/>
        </w:rPr>
        <w:t xml:space="preserve"> ČR</w:t>
      </w:r>
      <w:r w:rsidRPr="00267C53">
        <w:rPr>
          <w:rFonts w:ascii="Arial" w:hAnsi="Arial" w:cs="Arial"/>
        </w:rPr>
        <w:t xml:space="preserve"> žádá MMR v souvislosti s přípravou Dohody o partnerství (DoP) a budoucích operačních programů, aby bylo více uplatněno nové pojetí partnerství, které bude vycházet z důsledného promítnutí víceúrovňové veřejné správy tak, aby došlo k legitimizaci postavení regionální a místní samosprávy, a aby bylo umožněno prosazování užití fondů Společného strategického rámce na základě znalosti místních podmínek, potenciálu a specifik a priorit jednotlivých krajů, měst a obcí, včetně přístupu k řešení tematické a regionální dimenze v jednotlivých operačních programech a vyčlenění odpovídajících alokací, napříč programy ESIF v rámci tzv. Regionální obálky. </w:t>
      </w:r>
    </w:p>
    <w:p w:rsidR="00040171" w:rsidRDefault="00040171" w:rsidP="00040171">
      <w:pPr>
        <w:spacing w:after="0" w:line="240" w:lineRule="auto"/>
        <w:jc w:val="both"/>
        <w:rPr>
          <w:rFonts w:ascii="Arial" w:hAnsi="Arial" w:cs="Arial"/>
        </w:rPr>
      </w:pPr>
    </w:p>
    <w:p w:rsidR="00B63D15" w:rsidRPr="00040171" w:rsidRDefault="009B6708" w:rsidP="00040171">
      <w:pPr>
        <w:spacing w:after="0" w:line="240" w:lineRule="auto"/>
        <w:jc w:val="both"/>
        <w:rPr>
          <w:rFonts w:ascii="Arial" w:hAnsi="Arial" w:cs="Arial"/>
        </w:rPr>
      </w:pPr>
      <w:r w:rsidRPr="00267C53">
        <w:rPr>
          <w:rFonts w:ascii="Arial" w:hAnsi="Arial" w:cs="Arial"/>
        </w:rPr>
        <w:t>Asociace krajů svým usnesením ze dne 27.</w:t>
      </w:r>
      <w:r w:rsidR="00040171">
        <w:rPr>
          <w:rFonts w:ascii="Arial" w:hAnsi="Arial" w:cs="Arial"/>
        </w:rPr>
        <w:t xml:space="preserve"> </w:t>
      </w:r>
      <w:r w:rsidRPr="00267C53">
        <w:rPr>
          <w:rFonts w:ascii="Arial" w:hAnsi="Arial" w:cs="Arial"/>
        </w:rPr>
        <w:t>5.</w:t>
      </w:r>
      <w:r w:rsidR="00040171">
        <w:rPr>
          <w:rFonts w:ascii="Arial" w:hAnsi="Arial" w:cs="Arial"/>
        </w:rPr>
        <w:t xml:space="preserve"> 2013</w:t>
      </w:r>
      <w:r w:rsidRPr="00267C53">
        <w:rPr>
          <w:rFonts w:ascii="Arial" w:hAnsi="Arial" w:cs="Arial"/>
        </w:rPr>
        <w:t xml:space="preserve"> vyzvala kraje</w:t>
      </w:r>
      <w:r w:rsidR="00040171">
        <w:rPr>
          <w:rFonts w:ascii="Arial" w:hAnsi="Arial" w:cs="Arial"/>
        </w:rPr>
        <w:t>,</w:t>
      </w:r>
      <w:r w:rsidRPr="00267C53">
        <w:rPr>
          <w:rFonts w:ascii="Arial" w:hAnsi="Arial" w:cs="Arial"/>
        </w:rPr>
        <w:t xml:space="preserve"> aby v návaznosti na Společnou pozici Asociace krajů a Svazu měst a obcí přistoupily ke zpracování </w:t>
      </w:r>
      <w:r w:rsidR="008B3BD1" w:rsidRPr="00155E85">
        <w:rPr>
          <w:rFonts w:ascii="Arial" w:hAnsi="Arial" w:cs="Arial"/>
          <w:b/>
          <w:i/>
        </w:rPr>
        <w:t>Integrované rozvojové strategie kraje</w:t>
      </w:r>
      <w:r w:rsidR="008B3BD1">
        <w:rPr>
          <w:rFonts w:ascii="Arial" w:hAnsi="Arial" w:cs="Arial"/>
        </w:rPr>
        <w:t xml:space="preserve"> (ISRK)</w:t>
      </w:r>
      <w:r w:rsidR="008B3BD1" w:rsidRPr="00267C53">
        <w:rPr>
          <w:rFonts w:ascii="Arial" w:hAnsi="Arial" w:cs="Arial"/>
        </w:rPr>
        <w:t xml:space="preserve"> </w:t>
      </w:r>
      <w:r w:rsidRPr="00267C53">
        <w:rPr>
          <w:rFonts w:ascii="Arial" w:hAnsi="Arial" w:cs="Arial"/>
        </w:rPr>
        <w:t>v rámci ustavených místních partnerství</w:t>
      </w:r>
      <w:r w:rsidR="008B3BD1">
        <w:rPr>
          <w:rFonts w:ascii="Arial" w:hAnsi="Arial" w:cs="Arial"/>
        </w:rPr>
        <w:t>.</w:t>
      </w:r>
      <w:r w:rsidRPr="00267C53">
        <w:rPr>
          <w:rFonts w:ascii="Arial" w:hAnsi="Arial" w:cs="Arial"/>
        </w:rPr>
        <w:t xml:space="preserve"> </w:t>
      </w:r>
      <w:r w:rsidR="008B3BD1">
        <w:rPr>
          <w:rFonts w:ascii="Arial" w:hAnsi="Arial" w:cs="Arial"/>
        </w:rPr>
        <w:t>ISRK</w:t>
      </w:r>
      <w:r w:rsidRPr="00267C53">
        <w:rPr>
          <w:rFonts w:ascii="Arial" w:hAnsi="Arial" w:cs="Arial"/>
        </w:rPr>
        <w:t xml:space="preserve"> </w:t>
      </w:r>
      <w:r w:rsidR="008B3BD1">
        <w:rPr>
          <w:rFonts w:ascii="Arial" w:hAnsi="Arial" w:cs="Arial"/>
        </w:rPr>
        <w:t>by měla</w:t>
      </w:r>
      <w:r w:rsidRPr="00267C53">
        <w:rPr>
          <w:rFonts w:ascii="Arial" w:hAnsi="Arial" w:cs="Arial"/>
        </w:rPr>
        <w:t xml:space="preserve"> umožn</w:t>
      </w:r>
      <w:r w:rsidR="008B3BD1">
        <w:rPr>
          <w:rFonts w:ascii="Arial" w:hAnsi="Arial" w:cs="Arial"/>
        </w:rPr>
        <w:t>it</w:t>
      </w:r>
      <w:r w:rsidRPr="00267C53">
        <w:rPr>
          <w:rFonts w:ascii="Arial" w:hAnsi="Arial" w:cs="Arial"/>
        </w:rPr>
        <w:t xml:space="preserve"> určit pro obce, města a kraje konkrétní finanční alokaci při naplňování tematického a integrovaného přístupu k územnímu rozvoji a alokaci pro územní dimenzi v jednotlivých programech ESIF.</w:t>
      </w:r>
      <w:r w:rsidR="00040171">
        <w:rPr>
          <w:rFonts w:ascii="Arial" w:hAnsi="Arial" w:cs="Arial"/>
        </w:rPr>
        <w:t xml:space="preserve"> </w:t>
      </w:r>
      <w:r w:rsidR="00B63D15" w:rsidRPr="00267C53">
        <w:rPr>
          <w:rFonts w:ascii="Arial" w:hAnsi="Arial" w:cs="Arial"/>
        </w:rPr>
        <w:t xml:space="preserve">Jednání mezi AKČR a MMR stále pokračují a není </w:t>
      </w:r>
      <w:r w:rsidR="00267C53" w:rsidRPr="00267C53">
        <w:rPr>
          <w:rFonts w:ascii="Arial" w:hAnsi="Arial" w:cs="Arial"/>
        </w:rPr>
        <w:t>v tuto chvíli jasné, zda dojde k dohodě a návrh krajů bude ze strany MMR akceptován.</w:t>
      </w:r>
      <w:r w:rsidR="00267C53" w:rsidRPr="00267C53">
        <w:rPr>
          <w:rFonts w:ascii="Arial" w:hAnsi="Arial" w:cs="Arial"/>
          <w:bCs/>
        </w:rPr>
        <w:t xml:space="preserve"> </w:t>
      </w:r>
    </w:p>
    <w:p w:rsidR="00B63D15" w:rsidRPr="00267C53" w:rsidRDefault="00B63D15" w:rsidP="00267C5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sectPr w:rsidR="00B63D15" w:rsidRPr="0026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8A" w:rsidRDefault="006C368A" w:rsidP="009B244A">
      <w:pPr>
        <w:spacing w:after="0" w:line="240" w:lineRule="auto"/>
      </w:pPr>
      <w:r>
        <w:separator/>
      </w:r>
    </w:p>
  </w:endnote>
  <w:endnote w:type="continuationSeparator" w:id="0">
    <w:p w:rsidR="006C368A" w:rsidRDefault="006C368A" w:rsidP="009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8A" w:rsidRDefault="006C368A" w:rsidP="009B244A">
      <w:pPr>
        <w:spacing w:after="0" w:line="240" w:lineRule="auto"/>
      </w:pPr>
      <w:r>
        <w:separator/>
      </w:r>
    </w:p>
  </w:footnote>
  <w:footnote w:type="continuationSeparator" w:id="0">
    <w:p w:rsidR="006C368A" w:rsidRDefault="006C368A" w:rsidP="009B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7E"/>
    <w:multiLevelType w:val="hybridMultilevel"/>
    <w:tmpl w:val="7E7A77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25A"/>
    <w:multiLevelType w:val="hybridMultilevel"/>
    <w:tmpl w:val="4FA27C44"/>
    <w:lvl w:ilvl="0" w:tplc="AA5C0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E23D07"/>
    <w:multiLevelType w:val="hybridMultilevel"/>
    <w:tmpl w:val="6AC227F2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2A9D084C"/>
    <w:multiLevelType w:val="hybridMultilevel"/>
    <w:tmpl w:val="41A25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2A0DF2"/>
    <w:multiLevelType w:val="hybridMultilevel"/>
    <w:tmpl w:val="3FE6E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8C2C65"/>
    <w:multiLevelType w:val="hybridMultilevel"/>
    <w:tmpl w:val="0A04A5C0"/>
    <w:lvl w:ilvl="0" w:tplc="D8221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68F0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D6583"/>
    <w:multiLevelType w:val="hybridMultilevel"/>
    <w:tmpl w:val="1DBE5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A0D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86936"/>
    <w:multiLevelType w:val="multilevel"/>
    <w:tmpl w:val="9272A2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4CB03769"/>
    <w:multiLevelType w:val="hybridMultilevel"/>
    <w:tmpl w:val="00C0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81B66"/>
    <w:multiLevelType w:val="hybridMultilevel"/>
    <w:tmpl w:val="A828A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A27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F3349F"/>
    <w:multiLevelType w:val="hybridMultilevel"/>
    <w:tmpl w:val="0DACCE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994548"/>
    <w:multiLevelType w:val="hybridMultilevel"/>
    <w:tmpl w:val="7C3CA542"/>
    <w:lvl w:ilvl="0" w:tplc="0405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F9"/>
    <w:rsid w:val="00027C4D"/>
    <w:rsid w:val="00040171"/>
    <w:rsid w:val="00060C2A"/>
    <w:rsid w:val="000C6CD8"/>
    <w:rsid w:val="00134F29"/>
    <w:rsid w:val="0014774A"/>
    <w:rsid w:val="00155E85"/>
    <w:rsid w:val="00164558"/>
    <w:rsid w:val="00171DF9"/>
    <w:rsid w:val="001B61C0"/>
    <w:rsid w:val="00212673"/>
    <w:rsid w:val="00251BAE"/>
    <w:rsid w:val="00267C53"/>
    <w:rsid w:val="002B11A5"/>
    <w:rsid w:val="003275C6"/>
    <w:rsid w:val="00357904"/>
    <w:rsid w:val="00361B95"/>
    <w:rsid w:val="0038272C"/>
    <w:rsid w:val="00447ED2"/>
    <w:rsid w:val="00496F3A"/>
    <w:rsid w:val="004D2B75"/>
    <w:rsid w:val="00510CBE"/>
    <w:rsid w:val="00513FD6"/>
    <w:rsid w:val="00531DBD"/>
    <w:rsid w:val="005D3EF3"/>
    <w:rsid w:val="005E760A"/>
    <w:rsid w:val="00624986"/>
    <w:rsid w:val="006C368A"/>
    <w:rsid w:val="006D3CDD"/>
    <w:rsid w:val="006E7D9A"/>
    <w:rsid w:val="007862EC"/>
    <w:rsid w:val="007F40FB"/>
    <w:rsid w:val="0080220F"/>
    <w:rsid w:val="00890D8D"/>
    <w:rsid w:val="008A3675"/>
    <w:rsid w:val="008B3BD1"/>
    <w:rsid w:val="008B3C57"/>
    <w:rsid w:val="008B5407"/>
    <w:rsid w:val="008D1987"/>
    <w:rsid w:val="008F5CD7"/>
    <w:rsid w:val="00946AB7"/>
    <w:rsid w:val="00955E8F"/>
    <w:rsid w:val="009669B4"/>
    <w:rsid w:val="009A3290"/>
    <w:rsid w:val="009B244A"/>
    <w:rsid w:val="009B6708"/>
    <w:rsid w:val="00A80BDD"/>
    <w:rsid w:val="00A956DE"/>
    <w:rsid w:val="00B2337B"/>
    <w:rsid w:val="00B263D9"/>
    <w:rsid w:val="00B548A4"/>
    <w:rsid w:val="00B63D15"/>
    <w:rsid w:val="00BC0606"/>
    <w:rsid w:val="00BE38FB"/>
    <w:rsid w:val="00BE50CE"/>
    <w:rsid w:val="00C04837"/>
    <w:rsid w:val="00C068F1"/>
    <w:rsid w:val="00C210A3"/>
    <w:rsid w:val="00C30746"/>
    <w:rsid w:val="00CB5CB9"/>
    <w:rsid w:val="00CB5F2A"/>
    <w:rsid w:val="00CE037D"/>
    <w:rsid w:val="00CF026D"/>
    <w:rsid w:val="00D14F31"/>
    <w:rsid w:val="00D16327"/>
    <w:rsid w:val="00D214FE"/>
    <w:rsid w:val="00D431E9"/>
    <w:rsid w:val="00D43309"/>
    <w:rsid w:val="00D73AE9"/>
    <w:rsid w:val="00D743D7"/>
    <w:rsid w:val="00DD2E32"/>
    <w:rsid w:val="00E1488B"/>
    <w:rsid w:val="00E369F5"/>
    <w:rsid w:val="00E93A9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1"/>
    <w:uiPriority w:val="9"/>
    <w:unhideWhenUsed/>
    <w:qFormat/>
    <w:rsid w:val="008A3675"/>
    <w:pPr>
      <w:keepNext/>
      <w:keepLines/>
      <w:spacing w:before="200" w:line="240" w:lineRule="auto"/>
      <w:outlineLvl w:val="2"/>
    </w:pPr>
    <w:rPr>
      <w:rFonts w:ascii="Cambria" w:eastAsiaTheme="majorEastAsia" w:hAnsi="Cambria" w:cstheme="majorBidi"/>
      <w:b/>
      <w:bCs/>
      <w:color w:val="215868" w:themeColor="accent5" w:themeShade="8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7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1488B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1488B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F2A"/>
    <w:rPr>
      <w:color w:val="0000FF" w:themeColor="hyperlink"/>
      <w:u w:val="single"/>
    </w:rPr>
  </w:style>
  <w:style w:type="character" w:styleId="Znakapoznpodarou">
    <w:name w:val="footnote reference"/>
    <w:aliases w:val="Footnote symbol,Footnote,PGI Fußnote Ziffer"/>
    <w:basedOn w:val="Standardnpsmoodstavce"/>
    <w:uiPriority w:val="99"/>
    <w:semiHidden/>
    <w:unhideWhenUsed/>
    <w:rsid w:val="009B244A"/>
    <w:rPr>
      <w:vertAlign w:val="superscript"/>
    </w:rPr>
  </w:style>
  <w:style w:type="character" w:customStyle="1" w:styleId="Nadpis3Char">
    <w:name w:val="Nadpis 3 Char"/>
    <w:basedOn w:val="Standardnpsmoodstavce"/>
    <w:uiPriority w:val="9"/>
    <w:semiHidden/>
    <w:rsid w:val="008A3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3Char1">
    <w:name w:val="Nadpis 3 Char1"/>
    <w:basedOn w:val="Standardnpsmoodstavce"/>
    <w:link w:val="Nadpis3"/>
    <w:uiPriority w:val="9"/>
    <w:rsid w:val="008A3675"/>
    <w:rPr>
      <w:rFonts w:ascii="Cambria" w:eastAsiaTheme="majorEastAsia" w:hAnsi="Cambria" w:cstheme="majorBidi"/>
      <w:b/>
      <w:bCs/>
      <w:color w:val="215868" w:themeColor="accent5" w:themeShade="80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36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3675"/>
  </w:style>
  <w:style w:type="character" w:customStyle="1" w:styleId="Nadpis2Char">
    <w:name w:val="Nadpis 2 Char"/>
    <w:basedOn w:val="Standardnpsmoodstavce"/>
    <w:link w:val="Nadpis2"/>
    <w:uiPriority w:val="9"/>
    <w:semiHidden/>
    <w:rsid w:val="0044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7E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link w:val="OdstavecseseznamemChar"/>
    <w:uiPriority w:val="34"/>
    <w:qFormat/>
    <w:rsid w:val="00447ED2"/>
    <w:pPr>
      <w:spacing w:after="120" w:line="240" w:lineRule="auto"/>
      <w:ind w:left="720"/>
      <w:contextualSpacing/>
    </w:pPr>
    <w:rPr>
      <w:rFonts w:eastAsiaTheme="minorEastAsia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47ED2"/>
    <w:rPr>
      <w:rFonts w:eastAsiaTheme="minorEastAsia" w:cs="Times New Roman"/>
    </w:rPr>
  </w:style>
  <w:style w:type="paragraph" w:customStyle="1" w:styleId="Odstavecseseznamem1">
    <w:name w:val="Odstavec se seznamem1"/>
    <w:basedOn w:val="Normln"/>
    <w:link w:val="ListParagraphChar1"/>
    <w:uiPriority w:val="99"/>
    <w:rsid w:val="00447ED2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ListParagraphChar1">
    <w:name w:val="List Paragraph Char1"/>
    <w:link w:val="Odstavecseseznamem1"/>
    <w:uiPriority w:val="99"/>
    <w:rsid w:val="00447ED2"/>
    <w:rPr>
      <w:rFonts w:ascii="Calibri" w:eastAsia="Times New Roman" w:hAnsi="Calibri" w:cs="Calibri"/>
      <w:lang w:eastAsia="ar-SA"/>
    </w:rPr>
  </w:style>
  <w:style w:type="paragraph" w:customStyle="1" w:styleId="Point0">
    <w:name w:val="Point 0"/>
    <w:basedOn w:val="Normln"/>
    <w:uiPriority w:val="99"/>
    <w:rsid w:val="00447ED2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ln"/>
    <w:next w:val="Normln"/>
    <w:uiPriority w:val="99"/>
    <w:rsid w:val="00447ED2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oint0number">
    <w:name w:val="Point 0 (number)"/>
    <w:basedOn w:val="Normln"/>
    <w:uiPriority w:val="99"/>
    <w:rsid w:val="00447E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uiPriority w:val="99"/>
    <w:rsid w:val="00447ED2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uiPriority w:val="99"/>
    <w:rsid w:val="00447ED2"/>
    <w:pPr>
      <w:numPr>
        <w:ilvl w:val="4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uiPriority w:val="99"/>
    <w:rsid w:val="00447ED2"/>
    <w:pPr>
      <w:numPr>
        <w:ilvl w:val="6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uiPriority w:val="99"/>
    <w:rsid w:val="00447ED2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uiPriority w:val="99"/>
    <w:rsid w:val="00447ED2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uiPriority w:val="99"/>
    <w:rsid w:val="00447ED2"/>
    <w:pPr>
      <w:numPr>
        <w:ilvl w:val="5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uiPriority w:val="99"/>
    <w:rsid w:val="00447ED2"/>
    <w:pPr>
      <w:numPr>
        <w:ilvl w:val="7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uiPriority w:val="99"/>
    <w:rsid w:val="00447ED2"/>
    <w:pPr>
      <w:numPr>
        <w:ilvl w:val="8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"/>
    <w:rsid w:val="00027C4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1"/>
    <w:uiPriority w:val="9"/>
    <w:unhideWhenUsed/>
    <w:qFormat/>
    <w:rsid w:val="008A3675"/>
    <w:pPr>
      <w:keepNext/>
      <w:keepLines/>
      <w:spacing w:before="200" w:line="240" w:lineRule="auto"/>
      <w:outlineLvl w:val="2"/>
    </w:pPr>
    <w:rPr>
      <w:rFonts w:ascii="Cambria" w:eastAsiaTheme="majorEastAsia" w:hAnsi="Cambria" w:cstheme="majorBidi"/>
      <w:b/>
      <w:bCs/>
      <w:color w:val="215868" w:themeColor="accent5" w:themeShade="8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7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1488B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1488B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F2A"/>
    <w:rPr>
      <w:color w:val="0000FF" w:themeColor="hyperlink"/>
      <w:u w:val="single"/>
    </w:rPr>
  </w:style>
  <w:style w:type="character" w:styleId="Znakapoznpodarou">
    <w:name w:val="footnote reference"/>
    <w:aliases w:val="Footnote symbol,Footnote,PGI Fußnote Ziffer"/>
    <w:basedOn w:val="Standardnpsmoodstavce"/>
    <w:uiPriority w:val="99"/>
    <w:semiHidden/>
    <w:unhideWhenUsed/>
    <w:rsid w:val="009B244A"/>
    <w:rPr>
      <w:vertAlign w:val="superscript"/>
    </w:rPr>
  </w:style>
  <w:style w:type="character" w:customStyle="1" w:styleId="Nadpis3Char">
    <w:name w:val="Nadpis 3 Char"/>
    <w:basedOn w:val="Standardnpsmoodstavce"/>
    <w:uiPriority w:val="9"/>
    <w:semiHidden/>
    <w:rsid w:val="008A3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3Char1">
    <w:name w:val="Nadpis 3 Char1"/>
    <w:basedOn w:val="Standardnpsmoodstavce"/>
    <w:link w:val="Nadpis3"/>
    <w:uiPriority w:val="9"/>
    <w:rsid w:val="008A3675"/>
    <w:rPr>
      <w:rFonts w:ascii="Cambria" w:eastAsiaTheme="majorEastAsia" w:hAnsi="Cambria" w:cstheme="majorBidi"/>
      <w:b/>
      <w:bCs/>
      <w:color w:val="215868" w:themeColor="accent5" w:themeShade="80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36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3675"/>
  </w:style>
  <w:style w:type="character" w:customStyle="1" w:styleId="Nadpis2Char">
    <w:name w:val="Nadpis 2 Char"/>
    <w:basedOn w:val="Standardnpsmoodstavce"/>
    <w:link w:val="Nadpis2"/>
    <w:uiPriority w:val="9"/>
    <w:semiHidden/>
    <w:rsid w:val="0044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7E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link w:val="OdstavecseseznamemChar"/>
    <w:uiPriority w:val="34"/>
    <w:qFormat/>
    <w:rsid w:val="00447ED2"/>
    <w:pPr>
      <w:spacing w:after="120" w:line="240" w:lineRule="auto"/>
      <w:ind w:left="720"/>
      <w:contextualSpacing/>
    </w:pPr>
    <w:rPr>
      <w:rFonts w:eastAsiaTheme="minorEastAsia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47ED2"/>
    <w:rPr>
      <w:rFonts w:eastAsiaTheme="minorEastAsia" w:cs="Times New Roman"/>
    </w:rPr>
  </w:style>
  <w:style w:type="paragraph" w:customStyle="1" w:styleId="Odstavecseseznamem1">
    <w:name w:val="Odstavec se seznamem1"/>
    <w:basedOn w:val="Normln"/>
    <w:link w:val="ListParagraphChar1"/>
    <w:uiPriority w:val="99"/>
    <w:rsid w:val="00447ED2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ListParagraphChar1">
    <w:name w:val="List Paragraph Char1"/>
    <w:link w:val="Odstavecseseznamem1"/>
    <w:uiPriority w:val="99"/>
    <w:rsid w:val="00447ED2"/>
    <w:rPr>
      <w:rFonts w:ascii="Calibri" w:eastAsia="Times New Roman" w:hAnsi="Calibri" w:cs="Calibri"/>
      <w:lang w:eastAsia="ar-SA"/>
    </w:rPr>
  </w:style>
  <w:style w:type="paragraph" w:customStyle="1" w:styleId="Point0">
    <w:name w:val="Point 0"/>
    <w:basedOn w:val="Normln"/>
    <w:uiPriority w:val="99"/>
    <w:rsid w:val="00447ED2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ln"/>
    <w:next w:val="Normln"/>
    <w:uiPriority w:val="99"/>
    <w:rsid w:val="00447ED2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oint0number">
    <w:name w:val="Point 0 (number)"/>
    <w:basedOn w:val="Normln"/>
    <w:uiPriority w:val="99"/>
    <w:rsid w:val="00447E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uiPriority w:val="99"/>
    <w:rsid w:val="00447ED2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uiPriority w:val="99"/>
    <w:rsid w:val="00447ED2"/>
    <w:pPr>
      <w:numPr>
        <w:ilvl w:val="4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uiPriority w:val="99"/>
    <w:rsid w:val="00447ED2"/>
    <w:pPr>
      <w:numPr>
        <w:ilvl w:val="6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uiPriority w:val="99"/>
    <w:rsid w:val="00447ED2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uiPriority w:val="99"/>
    <w:rsid w:val="00447ED2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uiPriority w:val="99"/>
    <w:rsid w:val="00447ED2"/>
    <w:pPr>
      <w:numPr>
        <w:ilvl w:val="5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uiPriority w:val="99"/>
    <w:rsid w:val="00447ED2"/>
    <w:pPr>
      <w:numPr>
        <w:ilvl w:val="7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uiPriority w:val="99"/>
    <w:rsid w:val="00447ED2"/>
    <w:pPr>
      <w:numPr>
        <w:ilvl w:val="8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"/>
    <w:rsid w:val="00027C4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09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149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586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874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36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45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5034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Vichr Dušan  Mgr.</dc:creator>
  <cp:lastModifiedBy>Jakoubková Marie</cp:lastModifiedBy>
  <cp:revision>5</cp:revision>
  <cp:lastPrinted>2013-06-12T11:23:00Z</cp:lastPrinted>
  <dcterms:created xsi:type="dcterms:W3CDTF">2013-06-04T11:28:00Z</dcterms:created>
  <dcterms:modified xsi:type="dcterms:W3CDTF">2013-06-12T11:23:00Z</dcterms:modified>
</cp:coreProperties>
</file>