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7" w:rsidRPr="00950BEA" w:rsidRDefault="00DB01E7" w:rsidP="00DB01E7">
      <w:pPr>
        <w:autoSpaceDN w:val="0"/>
        <w:spacing w:after="120"/>
        <w:jc w:val="center"/>
        <w:rPr>
          <w:sz w:val="28"/>
          <w:szCs w:val="28"/>
        </w:rPr>
      </w:pPr>
      <w:r w:rsidRPr="00950BEA">
        <w:rPr>
          <w:sz w:val="28"/>
          <w:szCs w:val="28"/>
        </w:rPr>
        <w:t xml:space="preserve">Krajská správa a údržba silnic Vysočiny, příspěvková organizace, </w:t>
      </w:r>
    </w:p>
    <w:p w:rsidR="00DB01E7" w:rsidRPr="00950BEA" w:rsidRDefault="00DB01E7" w:rsidP="00DB01E7">
      <w:pPr>
        <w:pBdr>
          <w:bottom w:val="single" w:sz="6" w:space="1" w:color="auto"/>
        </w:pBdr>
        <w:autoSpaceDN w:val="0"/>
        <w:spacing w:after="120"/>
        <w:jc w:val="center"/>
        <w:rPr>
          <w:sz w:val="28"/>
          <w:szCs w:val="28"/>
        </w:rPr>
      </w:pPr>
      <w:r w:rsidRPr="00950BEA">
        <w:rPr>
          <w:sz w:val="28"/>
          <w:szCs w:val="28"/>
        </w:rPr>
        <w:t>Kosovská 16, 586 01 Jihlava</w:t>
      </w:r>
    </w:p>
    <w:p w:rsidR="00DB01E7" w:rsidRPr="00950BEA" w:rsidRDefault="00DB01E7" w:rsidP="00DB01E7">
      <w:pPr>
        <w:autoSpaceDE w:val="0"/>
        <w:autoSpaceDN w:val="0"/>
        <w:adjustRightInd w:val="0"/>
        <w:spacing w:after="120"/>
        <w:rPr>
          <w:bCs/>
        </w:rPr>
      </w:pPr>
      <w:r w:rsidRPr="00950BEA">
        <w:rPr>
          <w:bCs/>
        </w:rPr>
        <w:tab/>
      </w:r>
      <w:r w:rsidRPr="00950BEA">
        <w:rPr>
          <w:bCs/>
        </w:rPr>
        <w:tab/>
      </w:r>
    </w:p>
    <w:p w:rsidR="00DB01E7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 D Ů V O D N Ě N Í</w:t>
      </w:r>
    </w:p>
    <w:p w:rsidR="00E460C9" w:rsidRDefault="00E460C9" w:rsidP="00E460C9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 ý z n a m n é   v e ř e j n é   z a k á z k y  </w:t>
      </w: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  <w:r w:rsidRPr="00950BEA">
        <w:rPr>
          <w:b/>
          <w:bCs/>
          <w:sz w:val="44"/>
          <w:szCs w:val="44"/>
        </w:rPr>
        <w:t xml:space="preserve">  </w:t>
      </w: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</w:p>
    <w:p w:rsidR="00DB01E7" w:rsidRPr="00950BEA" w:rsidRDefault="00DB01E7" w:rsidP="00DB01E7">
      <w:pPr>
        <w:autoSpaceDN w:val="0"/>
        <w:spacing w:after="120"/>
        <w:jc w:val="center"/>
        <w:rPr>
          <w:sz w:val="32"/>
          <w:szCs w:val="32"/>
        </w:rPr>
      </w:pPr>
    </w:p>
    <w:p w:rsidR="00DB01E7" w:rsidRPr="00950BEA" w:rsidRDefault="00DB01E7" w:rsidP="00DB01E7">
      <w:pPr>
        <w:autoSpaceDN w:val="0"/>
        <w:spacing w:after="120"/>
        <w:jc w:val="center"/>
        <w:rPr>
          <w:b/>
          <w:sz w:val="36"/>
          <w:szCs w:val="36"/>
        </w:rPr>
      </w:pPr>
    </w:p>
    <w:p w:rsidR="00DB01E7" w:rsidRPr="00950BEA" w:rsidRDefault="004B3CC4" w:rsidP="00DB01E7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>
        <w:rPr>
          <w:b/>
          <w:sz w:val="44"/>
          <w:szCs w:val="44"/>
        </w:rPr>
        <w:t>Nákladní technika na údržbu komunikací Kraje Vysočina</w:t>
      </w: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Odůvodnění veřejné zakázky </w:t>
      </w:r>
      <w:r w:rsidRPr="00950BEA">
        <w:rPr>
          <w:bCs/>
        </w:rPr>
        <w:t xml:space="preserve">ve smyslu § </w:t>
      </w:r>
      <w:r>
        <w:rPr>
          <w:bCs/>
        </w:rPr>
        <w:t>156</w:t>
      </w:r>
      <w:r w:rsidRPr="00950BEA">
        <w:rPr>
          <w:bCs/>
        </w:rPr>
        <w:t xml:space="preserve"> zákona č. 137/2006 Sb., o veřejných zakázkách, v platném znění. </w:t>
      </w: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26"/>
      </w:tblGrid>
      <w:tr w:rsidR="00DB01E7" w:rsidRPr="00950BEA" w:rsidTr="00BE5CC7">
        <w:tc>
          <w:tcPr>
            <w:tcW w:w="1668" w:type="dxa"/>
          </w:tcPr>
          <w:p w:rsidR="00DB01E7" w:rsidRPr="00950BEA" w:rsidRDefault="00DB01E7" w:rsidP="00BE5CC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950BEA">
              <w:rPr>
                <w:bCs/>
              </w:rPr>
              <w:t>V Jihlavě dne: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1E7" w:rsidRPr="00950BEA" w:rsidRDefault="00DB01E7" w:rsidP="00BE5CC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</w:p>
        </w:tc>
      </w:tr>
    </w:tbl>
    <w:p w:rsidR="00DB01E7" w:rsidRPr="00950BEA" w:rsidRDefault="00DB01E7" w:rsidP="00DB01E7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B01E7" w:rsidRPr="00950BEA" w:rsidRDefault="00DB01E7" w:rsidP="00DB01E7">
      <w:pPr>
        <w:autoSpaceDE w:val="0"/>
        <w:autoSpaceDN w:val="0"/>
        <w:adjustRightInd w:val="0"/>
        <w:spacing w:after="120"/>
        <w:ind w:left="4956"/>
        <w:jc w:val="center"/>
        <w:rPr>
          <w:bCs/>
        </w:rPr>
      </w:pPr>
      <w:r w:rsidRPr="00950BEA">
        <w:rPr>
          <w:bCs/>
        </w:rPr>
        <w:t>Ing. Jan Míka</w:t>
      </w:r>
    </w:p>
    <w:p w:rsidR="00DB01E7" w:rsidRPr="00950BEA" w:rsidRDefault="00DB01E7" w:rsidP="00DB01E7">
      <w:pPr>
        <w:autoSpaceDE w:val="0"/>
        <w:autoSpaceDN w:val="0"/>
        <w:adjustRightInd w:val="0"/>
        <w:spacing w:after="120"/>
        <w:ind w:left="4956"/>
        <w:jc w:val="center"/>
        <w:rPr>
          <w:bCs/>
        </w:rPr>
      </w:pPr>
      <w:r w:rsidRPr="00950BEA">
        <w:rPr>
          <w:bCs/>
        </w:rPr>
        <w:t>ředitel</w:t>
      </w:r>
    </w:p>
    <w:p w:rsidR="0014156F" w:rsidRDefault="0014156F"/>
    <w:p w:rsidR="00EE0779" w:rsidRDefault="00DB01E7">
      <w:r>
        <w:br w:type="page"/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04"/>
      </w:tblGrid>
      <w:tr w:rsidR="00EE0779" w:rsidTr="00383BEB">
        <w:tc>
          <w:tcPr>
            <w:tcW w:w="9448" w:type="dxa"/>
            <w:gridSpan w:val="2"/>
            <w:shd w:val="clear" w:color="auto" w:fill="FBE4D5"/>
          </w:tcPr>
          <w:p w:rsidR="00EE0779" w:rsidRPr="002F1D1E" w:rsidRDefault="00EE0779" w:rsidP="00EE0779">
            <w:pPr>
              <w:jc w:val="center"/>
              <w:rPr>
                <w:b/>
              </w:rPr>
            </w:pPr>
          </w:p>
          <w:p w:rsidR="00EE0779" w:rsidRPr="002F1D1E" w:rsidRDefault="00EE0779" w:rsidP="00EE0779">
            <w:pPr>
              <w:jc w:val="center"/>
              <w:rPr>
                <w:b/>
              </w:rPr>
            </w:pPr>
            <w:r w:rsidRPr="002F1D1E">
              <w:rPr>
                <w:b/>
              </w:rPr>
              <w:t xml:space="preserve">Odůvodnění účelnosti veřejné zakázky podle § </w:t>
            </w:r>
            <w:r>
              <w:rPr>
                <w:b/>
              </w:rPr>
              <w:t>1</w:t>
            </w:r>
            <w:r w:rsidRPr="002F1D1E">
              <w:rPr>
                <w:b/>
              </w:rPr>
              <w:t xml:space="preserve"> vyhlášky</w:t>
            </w:r>
          </w:p>
          <w:p w:rsidR="00EE0779" w:rsidRPr="002F1D1E" w:rsidRDefault="00EE0779" w:rsidP="00EE0779">
            <w:pPr>
              <w:jc w:val="center"/>
              <w:rPr>
                <w:b/>
              </w:rPr>
            </w:pPr>
          </w:p>
        </w:tc>
      </w:tr>
      <w:tr w:rsidR="00F27E96" w:rsidTr="00C46F51">
        <w:tc>
          <w:tcPr>
            <w:tcW w:w="4644" w:type="dxa"/>
            <w:shd w:val="clear" w:color="auto" w:fill="FBE4D5"/>
          </w:tcPr>
          <w:p w:rsidR="00F27E96" w:rsidRDefault="00F27E96" w:rsidP="00F27E96">
            <w:r>
              <w:t>Popis potřeb, které mají být splněním veřejné zakázky naplněny.</w:t>
            </w:r>
          </w:p>
        </w:tc>
        <w:tc>
          <w:tcPr>
            <w:tcW w:w="4804" w:type="dxa"/>
            <w:vAlign w:val="center"/>
          </w:tcPr>
          <w:p w:rsidR="00F27E96" w:rsidRPr="00F27E96" w:rsidRDefault="00F27E96" w:rsidP="001638E6">
            <w:pPr>
              <w:contextualSpacing/>
              <w:jc w:val="both"/>
              <w:rPr>
                <w:rFonts w:cs="Arial"/>
                <w:bCs/>
                <w:i/>
                <w:sz w:val="22"/>
                <w:szCs w:val="22"/>
              </w:rPr>
            </w:pPr>
            <w:r w:rsidRPr="00F27E96">
              <w:rPr>
                <w:rFonts w:cs="Arial"/>
                <w:i/>
                <w:sz w:val="22"/>
                <w:szCs w:val="22"/>
              </w:rPr>
              <w:t xml:space="preserve">Nákupem celkem </w:t>
            </w:r>
            <w:r>
              <w:rPr>
                <w:rFonts w:cs="Arial"/>
                <w:i/>
                <w:sz w:val="22"/>
                <w:szCs w:val="22"/>
              </w:rPr>
              <w:t>21</w:t>
            </w:r>
            <w:r w:rsidRPr="00F27E96">
              <w:rPr>
                <w:rFonts w:cs="Arial"/>
                <w:i/>
                <w:sz w:val="22"/>
                <w:szCs w:val="22"/>
              </w:rPr>
              <w:t xml:space="preserve"> sypačů včetně nástavby chce zadavatel nahradit nejstarší skupinu sypačů (tovární značky </w:t>
            </w:r>
            <w:r>
              <w:rPr>
                <w:rFonts w:cs="Arial"/>
                <w:i/>
                <w:sz w:val="22"/>
                <w:szCs w:val="22"/>
              </w:rPr>
              <w:t xml:space="preserve">LIAZ, </w:t>
            </w:r>
            <w:r w:rsidRPr="00F27E96">
              <w:rPr>
                <w:rFonts w:cs="Arial"/>
                <w:i/>
                <w:sz w:val="22"/>
                <w:szCs w:val="22"/>
              </w:rPr>
              <w:t>ŠKODA 706</w:t>
            </w:r>
            <w:r w:rsidR="00766821">
              <w:rPr>
                <w:rFonts w:cs="Arial"/>
                <w:i/>
                <w:sz w:val="22"/>
                <w:szCs w:val="22"/>
              </w:rPr>
              <w:t>, P</w:t>
            </w:r>
            <w:r w:rsidR="001638E6">
              <w:rPr>
                <w:rFonts w:cs="Arial"/>
                <w:i/>
                <w:sz w:val="22"/>
                <w:szCs w:val="22"/>
              </w:rPr>
              <w:t>raga</w:t>
            </w:r>
            <w:r>
              <w:rPr>
                <w:rFonts w:cs="Arial"/>
                <w:i/>
                <w:sz w:val="22"/>
                <w:szCs w:val="22"/>
              </w:rPr>
              <w:t xml:space="preserve"> a TATRA 815</w:t>
            </w:r>
            <w:r w:rsidRPr="00F27E96">
              <w:rPr>
                <w:rFonts w:cs="Arial"/>
                <w:i/>
                <w:sz w:val="22"/>
                <w:szCs w:val="22"/>
              </w:rPr>
              <w:t>), která je stará v rámci efektivnějšího využívání techniky pro potřeby Krajské správy a údržby silnic Vysočiny, příspěvkové organizace.</w:t>
            </w:r>
          </w:p>
        </w:tc>
      </w:tr>
      <w:tr w:rsidR="00F27E96" w:rsidTr="00C46F51">
        <w:tc>
          <w:tcPr>
            <w:tcW w:w="4644" w:type="dxa"/>
            <w:shd w:val="clear" w:color="auto" w:fill="FBE4D5"/>
          </w:tcPr>
          <w:p w:rsidR="00F27E96" w:rsidRDefault="00F27E96" w:rsidP="00F27E96">
            <w:r>
              <w:t>Popis předmětu veřejné zakázky.</w:t>
            </w:r>
          </w:p>
          <w:p w:rsidR="00F27E96" w:rsidRDefault="00F27E96" w:rsidP="00F27E96"/>
        </w:tc>
        <w:tc>
          <w:tcPr>
            <w:tcW w:w="4804" w:type="dxa"/>
          </w:tcPr>
          <w:p w:rsidR="00F27E96" w:rsidRPr="00F27E96" w:rsidRDefault="00F27E96" w:rsidP="00F27E96">
            <w:pPr>
              <w:ind w:left="33"/>
              <w:jc w:val="both"/>
              <w:rPr>
                <w:rFonts w:cs="Arial"/>
                <w:i/>
                <w:sz w:val="22"/>
                <w:szCs w:val="22"/>
              </w:rPr>
            </w:pPr>
            <w:r w:rsidRPr="00F27E96">
              <w:rPr>
                <w:rFonts w:cs="Calibri"/>
                <w:i/>
                <w:sz w:val="22"/>
                <w:szCs w:val="22"/>
              </w:rPr>
              <w:t xml:space="preserve">Předmětem veřejné zakázky je dodávka techniky na zimní </w:t>
            </w:r>
            <w:r>
              <w:rPr>
                <w:rFonts w:cs="Calibri"/>
                <w:i/>
                <w:sz w:val="22"/>
                <w:szCs w:val="22"/>
              </w:rPr>
              <w:t xml:space="preserve">a letní </w:t>
            </w:r>
            <w:r w:rsidRPr="00F27E96">
              <w:rPr>
                <w:rFonts w:cs="Calibri"/>
                <w:i/>
                <w:sz w:val="22"/>
                <w:szCs w:val="22"/>
              </w:rPr>
              <w:t>údržbu komunikací - celkem 2</w:t>
            </w:r>
            <w:r>
              <w:rPr>
                <w:rFonts w:cs="Calibri"/>
                <w:i/>
                <w:sz w:val="22"/>
                <w:szCs w:val="22"/>
              </w:rPr>
              <w:t>1</w:t>
            </w:r>
            <w:r w:rsidRPr="00F27E96">
              <w:rPr>
                <w:rFonts w:cs="Calibri"/>
                <w:i/>
                <w:sz w:val="22"/>
                <w:szCs w:val="22"/>
              </w:rPr>
              <w:t xml:space="preserve"> sypačů včetně nástavby pro potřeby Krajské správy a údržby silnic Vysočiny (KSÚSV).</w:t>
            </w:r>
          </w:p>
          <w:p w:rsidR="00F27E96" w:rsidRPr="00F27E96" w:rsidRDefault="00F27E96" w:rsidP="00F27E96">
            <w:pPr>
              <w:ind w:left="33"/>
              <w:contextualSpacing/>
              <w:rPr>
                <w:rFonts w:cs="Arial"/>
                <w:i/>
                <w:sz w:val="22"/>
                <w:szCs w:val="22"/>
              </w:rPr>
            </w:pPr>
            <w:r w:rsidRPr="00F27E96">
              <w:rPr>
                <w:rFonts w:cs="Arial"/>
                <w:i/>
                <w:sz w:val="22"/>
                <w:szCs w:val="22"/>
              </w:rPr>
              <w:t>Předmětem plnění bude dodávka:</w:t>
            </w:r>
          </w:p>
          <w:p w:rsidR="00F27E96" w:rsidRPr="00F27E96" w:rsidRDefault="00F27E96" w:rsidP="00F27E96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9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ks vozidel silniční údržby 6x6 (26 t) včetně nástaveb (tj. třístranné sklápě</w:t>
            </w:r>
            <w:r w:rsidR="00295D0E">
              <w:rPr>
                <w:rFonts w:cs="Arial"/>
                <w:bCs/>
                <w:i/>
                <w:sz w:val="22"/>
                <w:szCs w:val="22"/>
              </w:rPr>
              <w:t>če, sypače pro posyp chemickým,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inertním </w:t>
            </w:r>
            <w:r w:rsidR="00295D0E">
              <w:rPr>
                <w:rFonts w:cs="Arial"/>
                <w:bCs/>
                <w:i/>
                <w:sz w:val="22"/>
                <w:szCs w:val="22"/>
              </w:rPr>
              <w:t xml:space="preserve">a kombinovaným 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materiálem, různé typy radlic, </w:t>
            </w:r>
            <w:r w:rsidR="00295D0E">
              <w:rPr>
                <w:rFonts w:cs="Arial"/>
                <w:bCs/>
                <w:i/>
                <w:sz w:val="22"/>
                <w:szCs w:val="22"/>
              </w:rPr>
              <w:t>oboustranná zametací a čistící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nástavb</w:t>
            </w:r>
            <w:r>
              <w:rPr>
                <w:rFonts w:cs="Arial"/>
                <w:bCs/>
                <w:i/>
                <w:sz w:val="22"/>
                <w:szCs w:val="22"/>
              </w:rPr>
              <w:t>a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>),</w:t>
            </w:r>
          </w:p>
          <w:p w:rsidR="00F27E96" w:rsidRDefault="00F27E96" w:rsidP="00295D0E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12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ks vozidel silniční údržby  4x4 (18 t) včetně nástaveb (tj. třístranné sklápěče, sypače pro posyp chemickým</w:t>
            </w:r>
            <w:r w:rsidR="00295D0E">
              <w:rPr>
                <w:rFonts w:cs="Arial"/>
                <w:bCs/>
                <w:i/>
                <w:sz w:val="22"/>
                <w:szCs w:val="22"/>
              </w:rPr>
              <w:t>,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inertním</w:t>
            </w:r>
            <w:r w:rsidR="00295D0E">
              <w:rPr>
                <w:rFonts w:cs="Arial"/>
                <w:bCs/>
                <w:i/>
                <w:sz w:val="22"/>
                <w:szCs w:val="22"/>
              </w:rPr>
              <w:t xml:space="preserve"> a kombinovaným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materiálem, různé typy radlic a </w:t>
            </w:r>
            <w:r w:rsidR="002560B0">
              <w:rPr>
                <w:rFonts w:cs="Arial"/>
                <w:bCs/>
                <w:i/>
                <w:sz w:val="22"/>
                <w:szCs w:val="22"/>
              </w:rPr>
              <w:t>oboustranná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="00295D0E">
              <w:rPr>
                <w:rFonts w:cs="Arial"/>
                <w:bCs/>
                <w:i/>
                <w:sz w:val="22"/>
                <w:szCs w:val="22"/>
              </w:rPr>
              <w:t xml:space="preserve">zametací a čistící 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>nástavb</w:t>
            </w:r>
            <w:r w:rsidR="00DA6975">
              <w:rPr>
                <w:rFonts w:cs="Arial"/>
                <w:bCs/>
                <w:i/>
                <w:sz w:val="22"/>
                <w:szCs w:val="22"/>
              </w:rPr>
              <w:t>a</w:t>
            </w:r>
            <w:r w:rsidRPr="00F27E96">
              <w:rPr>
                <w:rFonts w:cs="Arial"/>
                <w:bCs/>
                <w:i/>
                <w:sz w:val="22"/>
                <w:szCs w:val="22"/>
              </w:rPr>
              <w:t>)</w:t>
            </w:r>
            <w:r w:rsidR="002560B0">
              <w:rPr>
                <w:rFonts w:cs="Arial"/>
                <w:bCs/>
                <w:i/>
                <w:sz w:val="22"/>
                <w:szCs w:val="22"/>
              </w:rPr>
              <w:t>,</w:t>
            </w:r>
          </w:p>
          <w:p w:rsidR="00C46F51" w:rsidRPr="00DA6975" w:rsidRDefault="00C46F51" w:rsidP="00C46F51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1 ks výměnné nástavby na výspravy komunikací </w:t>
            </w:r>
            <w:r w:rsidR="00900984">
              <w:rPr>
                <w:rFonts w:cs="Arial"/>
                <w:bCs/>
                <w:i/>
                <w:sz w:val="22"/>
                <w:szCs w:val="22"/>
              </w:rPr>
              <w:t>tryskovou metodou na stávající nosič IVECO TRAKKER EURO VI, RZ 3J8 0723</w:t>
            </w:r>
            <w:r w:rsidR="002560B0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</w:tc>
      </w:tr>
      <w:tr w:rsidR="00F27E96" w:rsidTr="00C46F51">
        <w:tc>
          <w:tcPr>
            <w:tcW w:w="4644" w:type="dxa"/>
            <w:shd w:val="clear" w:color="auto" w:fill="FBE4D5"/>
          </w:tcPr>
          <w:p w:rsidR="00F27E96" w:rsidRDefault="00F27E96" w:rsidP="00F27E96">
            <w:r>
              <w:t>Popis vzájemného vztahu předmětu veřejné zakázky a potřeb zadavatele.</w:t>
            </w:r>
          </w:p>
          <w:p w:rsidR="00F27E96" w:rsidRDefault="00F27E96" w:rsidP="00F27E96"/>
          <w:p w:rsidR="00F27E96" w:rsidRDefault="00F27E96" w:rsidP="00F27E96"/>
        </w:tc>
        <w:tc>
          <w:tcPr>
            <w:tcW w:w="4804" w:type="dxa"/>
          </w:tcPr>
          <w:p w:rsidR="00DA6975" w:rsidRPr="00DA6975" w:rsidRDefault="00DA6975" w:rsidP="00DA6975">
            <w:pPr>
              <w:contextualSpacing/>
              <w:rPr>
                <w:rFonts w:cs="Arial"/>
                <w:bCs/>
                <w:i/>
                <w:sz w:val="22"/>
                <w:szCs w:val="22"/>
              </w:rPr>
            </w:pP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Cílem veřejné zakázky je modernizace vozového parku KSÚSV, čímž dojde ke zvýšení hospodárnosti a efektivnosti provozu. </w:t>
            </w:r>
          </w:p>
          <w:p w:rsidR="00DA6975" w:rsidRPr="00DA6975" w:rsidRDefault="00DA6975" w:rsidP="00DA6975">
            <w:pPr>
              <w:contextualSpacing/>
              <w:rPr>
                <w:rFonts w:cs="Arial"/>
                <w:bCs/>
                <w:i/>
                <w:sz w:val="22"/>
                <w:szCs w:val="22"/>
              </w:rPr>
            </w:pP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Krajská správa a údržba silnic Vysočiny, příspěvková organizace (dále jen KSÚSV) vede ve své evidenci </w:t>
            </w:r>
            <w:r w:rsidRPr="0095093E">
              <w:rPr>
                <w:rFonts w:cs="Arial"/>
                <w:bCs/>
                <w:i/>
                <w:sz w:val="22"/>
                <w:szCs w:val="22"/>
              </w:rPr>
              <w:t>15</w:t>
            </w:r>
            <w:r w:rsidR="0095093E" w:rsidRPr="0095093E">
              <w:rPr>
                <w:rFonts w:cs="Arial"/>
                <w:bCs/>
                <w:i/>
                <w:sz w:val="22"/>
                <w:szCs w:val="22"/>
              </w:rPr>
              <w:t>4</w:t>
            </w:r>
            <w:r w:rsidRPr="0095093E">
              <w:rPr>
                <w:rFonts w:cs="Arial"/>
                <w:bCs/>
                <w:i/>
                <w:sz w:val="22"/>
                <w:szCs w:val="22"/>
              </w:rPr>
              <w:t xml:space="preserve"> ks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sypačů, jejichž průměrné stáří je více </w:t>
            </w:r>
            <w:r w:rsidR="00D20212">
              <w:rPr>
                <w:rFonts w:cs="Arial"/>
                <w:bCs/>
                <w:i/>
                <w:sz w:val="22"/>
                <w:szCs w:val="22"/>
              </w:rPr>
              <w:t>téměř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D20212">
              <w:rPr>
                <w:rFonts w:cs="Arial"/>
                <w:bCs/>
                <w:i/>
                <w:sz w:val="22"/>
                <w:szCs w:val="22"/>
              </w:rPr>
              <w:t>1</w:t>
            </w:r>
            <w:r w:rsidR="00D20212">
              <w:rPr>
                <w:rFonts w:cs="Arial"/>
                <w:bCs/>
                <w:i/>
                <w:sz w:val="22"/>
                <w:szCs w:val="22"/>
              </w:rPr>
              <w:t>4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="00D20212">
              <w:rPr>
                <w:rFonts w:cs="Arial"/>
                <w:bCs/>
                <w:i/>
                <w:sz w:val="22"/>
                <w:szCs w:val="22"/>
              </w:rPr>
              <w:t>let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>. Nejstarší skupina sypačů (tovární značky ŠKODA 706</w:t>
            </w:r>
            <w:r w:rsidR="00183E83">
              <w:rPr>
                <w:rFonts w:cs="Arial"/>
                <w:bCs/>
                <w:i/>
                <w:sz w:val="22"/>
                <w:szCs w:val="22"/>
              </w:rPr>
              <w:t>, LIAZ, Tatra 815</w:t>
            </w:r>
            <w:r w:rsidR="003F2898">
              <w:rPr>
                <w:rFonts w:cs="Arial"/>
                <w:bCs/>
                <w:i/>
                <w:sz w:val="22"/>
                <w:szCs w:val="22"/>
              </w:rPr>
              <w:t xml:space="preserve"> a</w:t>
            </w:r>
            <w:r w:rsidR="00D41427">
              <w:rPr>
                <w:rFonts w:cs="Arial"/>
                <w:bCs/>
                <w:i/>
                <w:sz w:val="22"/>
                <w:szCs w:val="22"/>
              </w:rPr>
              <w:t xml:space="preserve"> Praga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) je stará v průměru </w:t>
            </w:r>
            <w:r w:rsidR="00E825E8">
              <w:rPr>
                <w:rFonts w:cs="Arial"/>
                <w:bCs/>
                <w:i/>
                <w:sz w:val="22"/>
                <w:szCs w:val="22"/>
              </w:rPr>
              <w:t xml:space="preserve">přes </w:t>
            </w:r>
            <w:r w:rsidRPr="00E825E8">
              <w:rPr>
                <w:rFonts w:cs="Arial"/>
                <w:bCs/>
                <w:i/>
                <w:sz w:val="22"/>
                <w:szCs w:val="22"/>
              </w:rPr>
              <w:t>32 let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a KSÚS </w:t>
            </w:r>
            <w:r w:rsidR="003F2898">
              <w:rPr>
                <w:rFonts w:cs="Arial"/>
                <w:bCs/>
                <w:i/>
                <w:sz w:val="22"/>
                <w:szCs w:val="22"/>
              </w:rPr>
              <w:t xml:space="preserve">počítá s vyřazením 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celkem </w:t>
            </w:r>
            <w:r w:rsidR="003F2898">
              <w:rPr>
                <w:rFonts w:cs="Arial"/>
                <w:bCs/>
                <w:i/>
                <w:sz w:val="22"/>
                <w:szCs w:val="22"/>
              </w:rPr>
              <w:t>30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="00D20212">
              <w:rPr>
                <w:rFonts w:cs="Arial"/>
                <w:bCs/>
                <w:i/>
                <w:sz w:val="22"/>
                <w:szCs w:val="22"/>
              </w:rPr>
              <w:t xml:space="preserve">kusů těchto 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>vozidel.</w:t>
            </w:r>
            <w:r w:rsidR="00D41427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>Stáří vozového parku se významným způsobem projevuje v nákladech na opravy techniky. Celková výše nákladů na</w:t>
            </w:r>
            <w:r w:rsidR="001352AA">
              <w:rPr>
                <w:rFonts w:cs="Arial"/>
                <w:bCs/>
                <w:i/>
                <w:sz w:val="22"/>
                <w:szCs w:val="22"/>
              </w:rPr>
              <w:t xml:space="preserve"> externí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opravy </w:t>
            </w:r>
            <w:r w:rsidR="001352AA">
              <w:rPr>
                <w:rFonts w:cs="Arial"/>
                <w:bCs/>
                <w:i/>
                <w:sz w:val="22"/>
                <w:szCs w:val="22"/>
              </w:rPr>
              <w:t xml:space="preserve">sypačů včetně spotřeby náhradních dílů 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činí za poslední tři roky v průměru </w:t>
            </w:r>
            <w:r w:rsidR="001352AA" w:rsidRPr="001352AA">
              <w:rPr>
                <w:rFonts w:cs="Arial"/>
                <w:bCs/>
                <w:i/>
                <w:sz w:val="22"/>
                <w:szCs w:val="22"/>
              </w:rPr>
              <w:t xml:space="preserve">8 </w:t>
            </w:r>
            <w:r w:rsidRPr="001352AA">
              <w:rPr>
                <w:rFonts w:cs="Arial"/>
                <w:bCs/>
                <w:i/>
                <w:sz w:val="22"/>
                <w:szCs w:val="22"/>
              </w:rPr>
              <w:t>7</w:t>
            </w:r>
            <w:r w:rsidR="001352AA" w:rsidRPr="001352AA">
              <w:rPr>
                <w:rFonts w:cs="Arial"/>
                <w:bCs/>
                <w:i/>
                <w:sz w:val="22"/>
                <w:szCs w:val="22"/>
              </w:rPr>
              <w:t>48</w:t>
            </w:r>
            <w:r w:rsidRPr="001352AA">
              <w:rPr>
                <w:rFonts w:cs="Arial"/>
                <w:bCs/>
                <w:i/>
                <w:sz w:val="22"/>
                <w:szCs w:val="22"/>
              </w:rPr>
              <w:t xml:space="preserve"> tis.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Kč ro</w:t>
            </w:r>
            <w:r w:rsidR="0049033A">
              <w:rPr>
                <w:rFonts w:cs="Arial"/>
                <w:bCs/>
                <w:i/>
                <w:sz w:val="22"/>
                <w:szCs w:val="22"/>
              </w:rPr>
              <w:t>čně</w:t>
            </w: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 v rámci celé KSÚSV. V současné době se stává limitujícím faktorem opravitelnost vozidel. </w:t>
            </w:r>
          </w:p>
          <w:p w:rsidR="00F27E96" w:rsidRPr="00DA6975" w:rsidRDefault="00DA6975" w:rsidP="00DA6975">
            <w:pPr>
              <w:rPr>
                <w:i/>
              </w:rPr>
            </w:pPr>
            <w:r w:rsidRPr="00DA6975">
              <w:rPr>
                <w:rFonts w:cs="Arial"/>
                <w:bCs/>
                <w:i/>
                <w:sz w:val="22"/>
                <w:szCs w:val="22"/>
              </w:rPr>
              <w:t xml:space="preserve">Zadání této veřejné zakázky je tak přímým nástrojem k dosažení plánovaného cíle. </w:t>
            </w:r>
            <w:r w:rsidRPr="00DA6975">
              <w:rPr>
                <w:rFonts w:cs="Arial"/>
                <w:i/>
                <w:sz w:val="22"/>
                <w:szCs w:val="22"/>
              </w:rPr>
              <w:t>Pouze realizací veřejné zakázky je možno splnit plánovaný cíl.</w:t>
            </w:r>
          </w:p>
        </w:tc>
      </w:tr>
      <w:tr w:rsidR="00F27E96" w:rsidTr="00C46F51">
        <w:trPr>
          <w:trHeight w:val="1070"/>
        </w:trPr>
        <w:tc>
          <w:tcPr>
            <w:tcW w:w="4644" w:type="dxa"/>
            <w:shd w:val="clear" w:color="auto" w:fill="FBE4D5"/>
          </w:tcPr>
          <w:p w:rsidR="00F27E96" w:rsidRDefault="00F27E96" w:rsidP="00F27E96">
            <w:r>
              <w:t>Předpokládaný termín splnění veřejné zakázky.</w:t>
            </w:r>
          </w:p>
          <w:p w:rsidR="00F27E96" w:rsidRDefault="00F27E96" w:rsidP="00F27E96"/>
          <w:p w:rsidR="00F27E96" w:rsidRDefault="00F27E96" w:rsidP="00F27E96"/>
        </w:tc>
        <w:tc>
          <w:tcPr>
            <w:tcW w:w="4804" w:type="dxa"/>
          </w:tcPr>
          <w:p w:rsidR="00F27E96" w:rsidRPr="00FD1402" w:rsidRDefault="0016002C" w:rsidP="00873774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E27302">
              <w:rPr>
                <w:i/>
              </w:rPr>
              <w:t xml:space="preserve">Předpokládaným termínem splnění veřejné zakázky je </w:t>
            </w:r>
            <w:r w:rsidR="00873774" w:rsidRPr="00E27302">
              <w:rPr>
                <w:i/>
              </w:rPr>
              <w:t>červe</w:t>
            </w:r>
            <w:r w:rsidR="00A253E3" w:rsidRPr="00E27302">
              <w:rPr>
                <w:i/>
              </w:rPr>
              <w:t>nec</w:t>
            </w:r>
            <w:r w:rsidRPr="00E27302">
              <w:rPr>
                <w:i/>
              </w:rPr>
              <w:t xml:space="preserve"> 2017 - za předpokladu bezproblémového průběhu zadávacího řízení.</w:t>
            </w:r>
          </w:p>
        </w:tc>
      </w:tr>
    </w:tbl>
    <w:p w:rsidR="00475276" w:rsidRDefault="00475276"/>
    <w:p w:rsidR="00845A2E" w:rsidRDefault="00475276">
      <w:r>
        <w:br w:type="page"/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480"/>
      </w:tblGrid>
      <w:tr w:rsidR="0014156F" w:rsidTr="00383BEB">
        <w:tc>
          <w:tcPr>
            <w:tcW w:w="9448" w:type="dxa"/>
            <w:gridSpan w:val="2"/>
            <w:shd w:val="clear" w:color="auto" w:fill="FBE4D5"/>
          </w:tcPr>
          <w:p w:rsidR="0014156F" w:rsidRPr="002F1D1E" w:rsidRDefault="00EE0779" w:rsidP="002F1D1E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14156F" w:rsidRPr="002F1D1E" w:rsidRDefault="0014156F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účelnosti veřejné zakázky podle § 2 vyhlášky</w:t>
            </w:r>
          </w:p>
          <w:p w:rsidR="0014156F" w:rsidRPr="002F1D1E" w:rsidRDefault="0014156F" w:rsidP="002F1D1E">
            <w:pPr>
              <w:jc w:val="center"/>
              <w:rPr>
                <w:b/>
              </w:rPr>
            </w:pPr>
          </w:p>
        </w:tc>
      </w:tr>
      <w:tr w:rsidR="0014156F" w:rsidTr="00383BEB">
        <w:tc>
          <w:tcPr>
            <w:tcW w:w="4968" w:type="dxa"/>
            <w:shd w:val="clear" w:color="auto" w:fill="FBE4D5"/>
          </w:tcPr>
          <w:p w:rsidR="0014156F" w:rsidRDefault="0014156F">
            <w:r>
              <w:t>Veřejný zadavatel popíše změny</w:t>
            </w:r>
          </w:p>
          <w:p w:rsidR="0014156F" w:rsidRDefault="0014156F">
            <w:r>
              <w:t>a) v popisu potřeb, které mají být splněním veřejné zakázky naplněny,</w:t>
            </w:r>
          </w:p>
          <w:p w:rsidR="0014156F" w:rsidRDefault="0014156F">
            <w:r>
              <w:t xml:space="preserve">b) v popisu předmětu veřejné zakázky, </w:t>
            </w:r>
          </w:p>
          <w:p w:rsidR="0014156F" w:rsidRDefault="0014156F">
            <w:r>
              <w:t>c) vzájemného vztahu předmětu veřejné zakázky a potřeb zadavatele,</w:t>
            </w:r>
          </w:p>
          <w:p w:rsidR="0014156F" w:rsidRDefault="0014156F">
            <w:r>
              <w:t>d) v předpokládaném termínu splnění veřejné zakázky,</w:t>
            </w:r>
          </w:p>
          <w:p w:rsidR="0014156F" w:rsidRDefault="0014156F">
            <w:r>
              <w:t>oproti skutečnostem uvedeným podle § 1.</w:t>
            </w:r>
          </w:p>
        </w:tc>
        <w:tc>
          <w:tcPr>
            <w:tcW w:w="4480" w:type="dxa"/>
          </w:tcPr>
          <w:p w:rsidR="0014156F" w:rsidRPr="00E16F92" w:rsidRDefault="009B75C3" w:rsidP="00643057">
            <w:pPr>
              <w:rPr>
                <w:i/>
              </w:rPr>
            </w:pPr>
            <w:r>
              <w:rPr>
                <w:i/>
              </w:rPr>
              <w:t xml:space="preserve">Změny budou popsány při </w:t>
            </w:r>
            <w:r w:rsidR="00643057">
              <w:rPr>
                <w:i/>
              </w:rPr>
              <w:t>zahájení zadávacího řízení</w:t>
            </w:r>
            <w:r>
              <w:rPr>
                <w:i/>
              </w:rPr>
              <w:t xml:space="preserve">. </w:t>
            </w:r>
          </w:p>
        </w:tc>
      </w:tr>
      <w:tr w:rsidR="0014156F" w:rsidTr="00383BEB">
        <w:tc>
          <w:tcPr>
            <w:tcW w:w="4968" w:type="dxa"/>
            <w:shd w:val="clear" w:color="auto" w:fill="FBE4D5"/>
          </w:tcPr>
          <w:p w:rsidR="0014156F" w:rsidRDefault="0014156F">
            <w:r>
              <w:t>Popis rizik souvisejících s plněním veřejné zakázky, která zadavatel zohlednil při stanovení zadávacích podmínek. Jde zejména o rizika nerealizace veřejné zakázky, prodlení s plněním veřejné zakázky, snížení kvality plnění, vynaložení finančních nákladů.</w:t>
            </w:r>
          </w:p>
          <w:p w:rsidR="009E7CAA" w:rsidRDefault="009E7CAA"/>
        </w:tc>
        <w:tc>
          <w:tcPr>
            <w:tcW w:w="4480" w:type="dxa"/>
          </w:tcPr>
          <w:p w:rsidR="0014156F" w:rsidRPr="00643057" w:rsidRDefault="00643057" w:rsidP="00643057">
            <w:pPr>
              <w:rPr>
                <w:i/>
              </w:rPr>
            </w:pPr>
            <w:r w:rsidRPr="00643057">
              <w:rPr>
                <w:rFonts w:cs="Arial"/>
                <w:bCs/>
                <w:i/>
                <w:sz w:val="22"/>
                <w:szCs w:val="22"/>
              </w:rPr>
              <w:t xml:space="preserve">Nedodržení požadované kvality celé obsáhlé a komplexní zakázky - zohledněno stanovením transparentního způsobu hodnocení ekonomické výhodnosti nabídek, kde bude kromě nabídkové ceny jednotlivých vozidel hodnocena také cena nejčastěji měněných náhradních dílů, technická kvalita, a dále provozní a servisní náklady v průběhu pozáručních oprav.  </w:t>
            </w:r>
          </w:p>
        </w:tc>
      </w:tr>
      <w:tr w:rsidR="00BC64B7" w:rsidTr="00383BEB">
        <w:tc>
          <w:tcPr>
            <w:tcW w:w="4968" w:type="dxa"/>
            <w:shd w:val="clear" w:color="auto" w:fill="FBE4D5"/>
          </w:tcPr>
          <w:p w:rsidR="00BC64B7" w:rsidRDefault="00BC64B7">
            <w:r>
              <w:t>Zadavatel může uvést další informace odůvodňující účelnost veřejné zakázky.</w:t>
            </w:r>
          </w:p>
        </w:tc>
        <w:tc>
          <w:tcPr>
            <w:tcW w:w="4480" w:type="dxa"/>
          </w:tcPr>
          <w:p w:rsidR="00BC64B7" w:rsidRPr="00475276" w:rsidRDefault="00BC64B7" w:rsidP="00BC64B7">
            <w:pPr>
              <w:rPr>
                <w:i/>
              </w:rPr>
            </w:pPr>
            <w:r w:rsidRPr="00332F71">
              <w:rPr>
                <w:rStyle w:val="formdata"/>
                <w:i/>
              </w:rPr>
              <w:t>Zadavatel předpokládá</w:t>
            </w:r>
            <w:r>
              <w:rPr>
                <w:rStyle w:val="formdata"/>
                <w:i/>
              </w:rPr>
              <w:t xml:space="preserve"> financování veřejné zakázky z vlastních zdrojů, které z větší poloviny doplní investičním úvěrem</w:t>
            </w:r>
            <w:r w:rsidRPr="00332F71">
              <w:rPr>
                <w:rStyle w:val="formdata"/>
                <w:i/>
              </w:rPr>
              <w:t>.</w:t>
            </w:r>
            <w:r w:rsidRPr="00332F71">
              <w:rPr>
                <w:i/>
              </w:rPr>
              <w:t xml:space="preserve"> </w:t>
            </w:r>
          </w:p>
        </w:tc>
      </w:tr>
    </w:tbl>
    <w:p w:rsidR="003842C0" w:rsidRDefault="001111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3842C0" w:rsidTr="00383BEB">
        <w:tc>
          <w:tcPr>
            <w:tcW w:w="9212" w:type="dxa"/>
            <w:gridSpan w:val="2"/>
            <w:shd w:val="clear" w:color="auto" w:fill="FBE4D5"/>
          </w:tcPr>
          <w:p w:rsidR="003842C0" w:rsidRPr="002F1D1E" w:rsidRDefault="003842C0" w:rsidP="002F1D1E">
            <w:pPr>
              <w:jc w:val="center"/>
              <w:rPr>
                <w:b/>
              </w:rPr>
            </w:pPr>
          </w:p>
          <w:p w:rsidR="003842C0" w:rsidRPr="002F1D1E" w:rsidRDefault="003842C0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požadavků na technické kvalifikační předpoklady pro plnění veřejné zakázky na dodávky podle § 3 odst. 1 vyhlášky</w:t>
            </w:r>
          </w:p>
          <w:p w:rsidR="003842C0" w:rsidRDefault="003842C0" w:rsidP="002F1D1E">
            <w:pPr>
              <w:jc w:val="center"/>
            </w:pPr>
            <w:r>
              <w:t>Veřejný zadavatel odůvodní přiměřenost požadavků na technické kvalifikační předpoklady ve vztahu k předmětu veřejné zakázky a k rizikům souvisejícím s plněním veřejné zakázky</w:t>
            </w:r>
          </w:p>
          <w:p w:rsidR="003842C0" w:rsidRDefault="003842C0"/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 xml:space="preserve">Odůvodnění přiměřenosti požadavků na seznam významných dodávek. (Veřejný zadavatel povinně vyplní, pokud požadovaná finanční hodnota všech významných dodávek činí v souhrnu minimálně trojnásobek předpokládané hodnoty veřejné zakázky.) </w:t>
            </w:r>
          </w:p>
        </w:tc>
        <w:tc>
          <w:tcPr>
            <w:tcW w:w="4244" w:type="dxa"/>
          </w:tcPr>
          <w:p w:rsidR="00327339" w:rsidRPr="00F93693" w:rsidRDefault="00BC64B7" w:rsidP="00327339">
            <w:pPr>
              <w:rPr>
                <w:i/>
              </w:rPr>
            </w:pPr>
            <w:r w:rsidRPr="003D61DC">
              <w:rPr>
                <w:i/>
              </w:rPr>
              <w:t>Požadovaný limit k odůvodnění není překročen.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4244" w:type="dxa"/>
          </w:tcPr>
          <w:p w:rsidR="00327339" w:rsidRDefault="00BC64B7">
            <w:r w:rsidRPr="003D61DC">
              <w:rPr>
                <w:i/>
              </w:rPr>
              <w:t>Požadovaný limit k odůvodnění není překročen.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popisu technického vybavení a opatření požadovaných dodavatelem k zajištění jakosti a popis zařízení nebo vybavení dodavatele určeného k provádění výzkumu.</w:t>
            </w:r>
          </w:p>
        </w:tc>
        <w:tc>
          <w:tcPr>
            <w:tcW w:w="4244" w:type="dxa"/>
          </w:tcPr>
          <w:p w:rsidR="00327339" w:rsidRDefault="00BC64B7">
            <w:r w:rsidRPr="003D61DC">
              <w:rPr>
                <w:i/>
              </w:rPr>
              <w:t>Požadovaný limit k odůvodnění není překročen.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244" w:type="dxa"/>
          </w:tcPr>
          <w:p w:rsidR="00327339" w:rsidRDefault="00BC64B7">
            <w:r w:rsidRPr="003D61DC">
              <w:rPr>
                <w:i/>
              </w:rPr>
              <w:t>Požadovaný limit k odůvodnění není překročen.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vzorků, popisů nebo fotografií zboží určeného k dodání.</w:t>
            </w:r>
          </w:p>
        </w:tc>
        <w:tc>
          <w:tcPr>
            <w:tcW w:w="4244" w:type="dxa"/>
          </w:tcPr>
          <w:p w:rsidR="00327339" w:rsidRDefault="00BC64B7" w:rsidP="00425D44">
            <w:pPr>
              <w:contextualSpacing/>
            </w:pPr>
            <w:r w:rsidRPr="00BC64B7">
              <w:rPr>
                <w:rFonts w:cs="Arial"/>
                <w:i/>
                <w:sz w:val="22"/>
                <w:szCs w:val="22"/>
              </w:rPr>
              <w:t xml:space="preserve">Zadavatel </w:t>
            </w:r>
            <w:r w:rsidRPr="00BE27D5">
              <w:rPr>
                <w:rFonts w:cs="Arial"/>
                <w:i/>
                <w:sz w:val="22"/>
                <w:szCs w:val="22"/>
              </w:rPr>
              <w:t>požaduje</w:t>
            </w:r>
            <w:r w:rsidRPr="00BC64B7">
              <w:rPr>
                <w:rFonts w:cs="Arial"/>
                <w:i/>
                <w:sz w:val="22"/>
                <w:szCs w:val="22"/>
              </w:rPr>
              <w:t xml:space="preserve"> v rámci prokazování</w:t>
            </w:r>
            <w:r w:rsidR="000A366D">
              <w:rPr>
                <w:rFonts w:cs="Arial"/>
                <w:i/>
                <w:sz w:val="22"/>
                <w:szCs w:val="22"/>
              </w:rPr>
              <w:t xml:space="preserve"> kvalifikace předložení vzorku </w:t>
            </w:r>
            <w:r w:rsidRPr="00BC64B7">
              <w:rPr>
                <w:rFonts w:cs="Arial"/>
                <w:bCs/>
                <w:i/>
                <w:sz w:val="22"/>
                <w:szCs w:val="22"/>
              </w:rPr>
              <w:t>k předvedení nabízeného vozidla za účelem ověření funkčnosti posuzovaného vozidla a splnění minimálních technických požadavků zadavatele</w:t>
            </w:r>
            <w:r w:rsidR="00425D44">
              <w:rPr>
                <w:rFonts w:cs="Arial"/>
                <w:bCs/>
                <w:i/>
                <w:sz w:val="22"/>
                <w:szCs w:val="22"/>
              </w:rPr>
              <w:t>, vzhledem k rozsahu a složitosti předmětu veřejné zakázky</w:t>
            </w:r>
            <w:r w:rsidRPr="00BC64B7">
              <w:rPr>
                <w:rFonts w:cs="Arial"/>
                <w:bCs/>
                <w:i/>
                <w:sz w:val="22"/>
                <w:szCs w:val="22"/>
              </w:rPr>
              <w:t>.</w:t>
            </w:r>
            <w:r w:rsidR="00425D44">
              <w:rPr>
                <w:rFonts w:cs="Arial"/>
                <w:bCs/>
                <w:i/>
                <w:sz w:val="22"/>
                <w:szCs w:val="22"/>
              </w:rPr>
              <w:t xml:space="preserve"> Tímto požadavkem zadavatel předchází</w:t>
            </w:r>
            <w:r w:rsidR="008B7084">
              <w:rPr>
                <w:rFonts w:cs="Arial"/>
                <w:bCs/>
                <w:i/>
                <w:sz w:val="22"/>
                <w:szCs w:val="22"/>
              </w:rPr>
              <w:t xml:space="preserve"> možnému riziku dodání vozidel nižší úrovně technických parametrů a zpracování, něž jaké jsou nezbytné pro splnění </w:t>
            </w:r>
            <w:r w:rsidR="00736C91">
              <w:rPr>
                <w:rFonts w:cs="Arial"/>
                <w:bCs/>
                <w:i/>
                <w:sz w:val="22"/>
                <w:szCs w:val="22"/>
              </w:rPr>
              <w:t>účelu pořízení nových vozidel.</w:t>
            </w:r>
            <w:r w:rsidR="00425D44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244" w:type="dxa"/>
          </w:tcPr>
          <w:p w:rsidR="00327339" w:rsidRDefault="00BC64B7">
            <w:r w:rsidRPr="003D61DC">
              <w:rPr>
                <w:i/>
              </w:rPr>
              <w:t>Požadovaný limit k odůvodnění není překročen.</w:t>
            </w:r>
          </w:p>
        </w:tc>
      </w:tr>
    </w:tbl>
    <w:p w:rsidR="003842C0" w:rsidRDefault="003842C0"/>
    <w:p w:rsidR="004A75D1" w:rsidRDefault="004A75D1"/>
    <w:p w:rsidR="004A75D1" w:rsidRDefault="004A75D1"/>
    <w:p w:rsidR="004A75D1" w:rsidRDefault="004A75D1"/>
    <w:p w:rsidR="004A75D1" w:rsidRDefault="004A75D1"/>
    <w:p w:rsidR="003B6A30" w:rsidRDefault="003B6A30"/>
    <w:p w:rsidR="004A75D1" w:rsidRDefault="004A75D1"/>
    <w:p w:rsidR="004A75D1" w:rsidRDefault="003734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4A75D1" w:rsidTr="00383BEB">
        <w:tc>
          <w:tcPr>
            <w:tcW w:w="9212" w:type="dxa"/>
            <w:gridSpan w:val="2"/>
            <w:shd w:val="clear" w:color="auto" w:fill="FBE4D5"/>
          </w:tcPr>
          <w:p w:rsidR="003B6A30" w:rsidRPr="002F1D1E" w:rsidRDefault="003B6A30" w:rsidP="002F1D1E">
            <w:pPr>
              <w:jc w:val="center"/>
              <w:rPr>
                <w:b/>
              </w:rPr>
            </w:pPr>
          </w:p>
          <w:p w:rsidR="004A75D1" w:rsidRPr="002F1D1E" w:rsidRDefault="004A75D1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přiměřenosti požadavků na technické kvalifikační předpoklady pro plnění veřejné zakázky na služby podle § 3 odst. 2 vyhlášky</w:t>
            </w:r>
          </w:p>
          <w:p w:rsidR="004A75D1" w:rsidRPr="004A75D1" w:rsidRDefault="004A75D1" w:rsidP="002F1D1E">
            <w:pPr>
              <w:jc w:val="center"/>
            </w:pPr>
            <w:r w:rsidRPr="004A75D1">
              <w:t>Veřejný zadavatel odůvodní přiměřenost požadavků na technické kvalifikační předpoklady ve vztahu k předmětu veřejné zakázky a k rizikům souvisejícím s plněním veřejné zakázky</w:t>
            </w:r>
          </w:p>
        </w:tc>
      </w:tr>
      <w:tr w:rsidR="004A75D1" w:rsidTr="00383BEB">
        <w:tc>
          <w:tcPr>
            <w:tcW w:w="4968" w:type="dxa"/>
            <w:shd w:val="clear" w:color="auto" w:fill="FBE4D5"/>
          </w:tcPr>
          <w:p w:rsidR="004A75D1" w:rsidRPr="004A75D1" w:rsidRDefault="004A75D1">
            <w:r w:rsidRPr="004A75D1">
              <w:t>Odůvodnění přiměřenosti požadavků na</w:t>
            </w:r>
            <w:r>
              <w:t xml:space="preserve">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4244" w:type="dxa"/>
          </w:tcPr>
          <w:p w:rsidR="004A75D1" w:rsidRDefault="00327339" w:rsidP="00327339">
            <w:r w:rsidRPr="00F93693">
              <w:rPr>
                <w:i/>
              </w:rPr>
              <w:t xml:space="preserve">Nejedná se o veřejnou zakázku na </w:t>
            </w:r>
            <w:r>
              <w:rPr>
                <w:i/>
              </w:rPr>
              <w:t>služby</w:t>
            </w:r>
            <w:r w:rsidRPr="00F93693">
              <w:rPr>
                <w:i/>
              </w:rPr>
              <w:t>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4244" w:type="dxa"/>
          </w:tcPr>
          <w:p w:rsidR="00327339" w:rsidRDefault="00327339">
            <w:r w:rsidRPr="00556928">
              <w:rPr>
                <w:i/>
              </w:rPr>
              <w:t>Nejedná se o veřejnou zakázku na služby.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popisu technického vybavení a opatření používaných dodavatelem k zajištění jakosti a popis zařízení nebo vybavení dodavatele určeného k provádění výzkumu.</w:t>
            </w:r>
          </w:p>
        </w:tc>
        <w:tc>
          <w:tcPr>
            <w:tcW w:w="4244" w:type="dxa"/>
          </w:tcPr>
          <w:p w:rsidR="00327339" w:rsidRDefault="00327339">
            <w:r w:rsidRPr="00556928">
              <w:rPr>
                <w:i/>
              </w:rPr>
              <w:t>Nejedná se o veřejnou zakázku na služby.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4244" w:type="dxa"/>
          </w:tcPr>
          <w:p w:rsidR="00327339" w:rsidRDefault="00327339">
            <w:r w:rsidRPr="00556928">
              <w:rPr>
                <w:i/>
              </w:rPr>
              <w:t>Nejedná se o veřejnou zakázku na služby.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 xml:space="preserve">Odůvodnění přiměřenosti požadavku na předložení osvědčení o vzdělání a odborné kvalifikaci dodavatele nebo vedoucích zaměstnanců dodavatele nebo osob v obdobném postavení a osob odpovědných za poskytování příslušných služeb (Zadavatel povinně vyplní, pokud požaduje </w:t>
            </w:r>
            <w:r w:rsidR="00D568BD">
              <w:t>předložení osvědčení</w:t>
            </w:r>
            <w:r>
              <w:t xml:space="preserve"> o vyšším stupni vzdělání než je středoškolské s maturitou, nebo </w:t>
            </w:r>
            <w:r w:rsidR="00D568BD">
              <w:t>osvědčení o odborné</w:t>
            </w:r>
            <w:r>
              <w:t xml:space="preserve"> kvalifikaci delší než tři roky.)</w:t>
            </w:r>
          </w:p>
        </w:tc>
        <w:tc>
          <w:tcPr>
            <w:tcW w:w="4244" w:type="dxa"/>
          </w:tcPr>
          <w:p w:rsidR="00327339" w:rsidRDefault="00327339">
            <w:r w:rsidRPr="00556928">
              <w:rPr>
                <w:i/>
              </w:rPr>
              <w:t>Nejedná se o veřejnou zakázku na služby.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>Odůvodnění přiměřenosti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244" w:type="dxa"/>
          </w:tcPr>
          <w:p w:rsidR="00327339" w:rsidRDefault="00327339">
            <w:r w:rsidRPr="00556928">
              <w:rPr>
                <w:i/>
              </w:rPr>
              <w:t>Nejedná se o veřejnou zakázku na služby.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t xml:space="preserve">Odůvodnění přiměřenosti požadavku </w:t>
            </w:r>
            <w:r w:rsidR="00D568BD">
              <w:t>na předložení</w:t>
            </w:r>
            <w:r>
              <w:t xml:space="preserve"> přehledu nástrojů nebo pomůcek, provozních a technických zařízení, které bude mít dodavatel při plnění veřejné zakázky k dispozici.</w:t>
            </w:r>
          </w:p>
        </w:tc>
        <w:tc>
          <w:tcPr>
            <w:tcW w:w="4244" w:type="dxa"/>
          </w:tcPr>
          <w:p w:rsidR="00327339" w:rsidRDefault="00327339">
            <w:r w:rsidRPr="00556928">
              <w:rPr>
                <w:i/>
              </w:rPr>
              <w:t>Nejedná se o veřejnou zakázku na služby.</w:t>
            </w:r>
          </w:p>
        </w:tc>
      </w:tr>
    </w:tbl>
    <w:p w:rsidR="004A75D1" w:rsidRDefault="004A75D1"/>
    <w:p w:rsidR="00C75C99" w:rsidRDefault="00C75C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820"/>
      </w:tblGrid>
      <w:tr w:rsidR="00A230A5" w:rsidTr="00383BEB">
        <w:tc>
          <w:tcPr>
            <w:tcW w:w="8788" w:type="dxa"/>
            <w:gridSpan w:val="2"/>
            <w:shd w:val="clear" w:color="auto" w:fill="FBE4D5"/>
          </w:tcPr>
          <w:p w:rsidR="003B6A30" w:rsidRPr="002F1D1E" w:rsidRDefault="0037342B" w:rsidP="002F1D1E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A230A5" w:rsidRPr="002F1D1E" w:rsidRDefault="00A230A5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přiměřenosti požadavk</w:t>
            </w:r>
            <w:r w:rsidR="00C8557B" w:rsidRPr="002F1D1E">
              <w:rPr>
                <w:b/>
              </w:rPr>
              <w:t>ů</w:t>
            </w:r>
            <w:r w:rsidRPr="002F1D1E">
              <w:rPr>
                <w:b/>
              </w:rPr>
              <w:t xml:space="preserve"> na technické kvalifikační předpoklady pro plnění veřejné zakázky na stavební práce podle § 3 odst. 3 vyhlášky</w:t>
            </w:r>
          </w:p>
          <w:p w:rsidR="00A230A5" w:rsidRDefault="00A230A5" w:rsidP="002F1D1E">
            <w:pPr>
              <w:jc w:val="center"/>
            </w:pPr>
            <w:r>
              <w:t>Veřejný zadavatel odůvodní přiměřenost požadavků na technické kvalifikační předpoklady ve vztahu k předmětu veřejné zakázky a k rizikům souvisejícím s plněním veřejné zakázky</w:t>
            </w:r>
          </w:p>
          <w:p w:rsidR="00674C3A" w:rsidRDefault="00674C3A" w:rsidP="002F1D1E">
            <w:pPr>
              <w:jc w:val="center"/>
            </w:pPr>
          </w:p>
        </w:tc>
      </w:tr>
      <w:tr w:rsidR="00A230A5" w:rsidTr="00383BEB">
        <w:tc>
          <w:tcPr>
            <w:tcW w:w="4968" w:type="dxa"/>
            <w:shd w:val="clear" w:color="auto" w:fill="FBE4D5"/>
          </w:tcPr>
          <w:p w:rsidR="00A230A5" w:rsidRDefault="00A230A5">
            <w:r>
              <w:t>Odůvodnění přiměřenosti požadavku na</w:t>
            </w:r>
            <w:r w:rsidR="004F7999">
              <w:t xml:space="preserve"> předložení seznamu stavebních prací. (Zadavatel povinně vyplní, pokud požaduje předložení seznamu stavebních prací, ze kterého bude vyplývat, že finanční hodnota uvedených stavebních prací je v souhrnu minimálně dvojnásobek předpokládané hodnoty veřejné zakázky.)</w:t>
            </w:r>
          </w:p>
        </w:tc>
        <w:tc>
          <w:tcPr>
            <w:tcW w:w="3820" w:type="dxa"/>
          </w:tcPr>
          <w:p w:rsidR="00A230A5" w:rsidRDefault="00BC64B7">
            <w:r w:rsidRPr="00556928">
              <w:rPr>
                <w:i/>
              </w:rPr>
              <w:t>Nejedná se o veřejnou zakázku na služby</w:t>
            </w:r>
            <w:r>
              <w:rPr>
                <w:i/>
              </w:rPr>
              <w:t xml:space="preserve"> stavební práce.</w:t>
            </w:r>
          </w:p>
        </w:tc>
      </w:tr>
      <w:tr w:rsidR="00A230A5" w:rsidTr="00383BEB">
        <w:tc>
          <w:tcPr>
            <w:tcW w:w="4968" w:type="dxa"/>
            <w:shd w:val="clear" w:color="auto" w:fill="FBE4D5"/>
          </w:tcPr>
          <w:p w:rsidR="00A230A5" w:rsidRDefault="00A230A5">
            <w:r>
              <w:t>Odůvodnění přiměřenosti požadavku na</w:t>
            </w:r>
            <w:r w:rsidR="004F7999">
              <w:t xml:space="preserve"> předložení seznamu techniků nebo</w:t>
            </w:r>
            <w:r w:rsidR="00DB363E">
              <w:t xml:space="preserve"> technických útvarů. (Zadavatel povinně vyplní, pokud požaduje předložení seznamu více než tří techniků nebo technických útvarů.)</w:t>
            </w:r>
          </w:p>
        </w:tc>
        <w:tc>
          <w:tcPr>
            <w:tcW w:w="3820" w:type="dxa"/>
          </w:tcPr>
          <w:p w:rsidR="00A230A5" w:rsidRDefault="00BC64B7">
            <w:r w:rsidRPr="00556928">
              <w:rPr>
                <w:i/>
              </w:rPr>
              <w:t>Nejedná se o veřejnou zakázku na služby</w:t>
            </w:r>
            <w:r>
              <w:rPr>
                <w:i/>
              </w:rPr>
              <w:t xml:space="preserve"> stavební práce.</w:t>
            </w:r>
          </w:p>
        </w:tc>
      </w:tr>
      <w:tr w:rsidR="00A230A5" w:rsidTr="00383BEB">
        <w:tc>
          <w:tcPr>
            <w:tcW w:w="4968" w:type="dxa"/>
            <w:shd w:val="clear" w:color="auto" w:fill="FBE4D5"/>
          </w:tcPr>
          <w:p w:rsidR="00A230A5" w:rsidRDefault="00A230A5">
            <w:r>
              <w:t>Odůvodnění přiměřenosti požadavku na</w:t>
            </w:r>
            <w:r w:rsidR="00DB363E">
              <w:t xml:space="preserve"> předložení osvědčení o vzdělání a odborné kvalifikaci dodavatele nebo vedoucích zaměstnanců dodavatele nebo osob v obdobném postavení a osob odpovědných za vedení realizace stavebních prací. (Zadavatel povinně vyplní, pokud osvědčení o odborné kvalifikaci delší než pět let.)</w:t>
            </w:r>
          </w:p>
        </w:tc>
        <w:tc>
          <w:tcPr>
            <w:tcW w:w="3820" w:type="dxa"/>
          </w:tcPr>
          <w:p w:rsidR="00A230A5" w:rsidRDefault="00BC64B7">
            <w:r w:rsidRPr="00556928">
              <w:rPr>
                <w:i/>
              </w:rPr>
              <w:t>Nejedná se o veřejnou zakázku na služby</w:t>
            </w:r>
            <w:r>
              <w:rPr>
                <w:i/>
              </w:rPr>
              <w:t xml:space="preserve"> stavební práce.</w:t>
            </w:r>
          </w:p>
        </w:tc>
      </w:tr>
      <w:tr w:rsidR="00A230A5" w:rsidTr="00383BEB">
        <w:tc>
          <w:tcPr>
            <w:tcW w:w="4968" w:type="dxa"/>
            <w:shd w:val="clear" w:color="auto" w:fill="FBE4D5"/>
          </w:tcPr>
          <w:p w:rsidR="00A230A5" w:rsidRDefault="00A230A5">
            <w:r>
              <w:t>Odůvodnění požadavku na</w:t>
            </w:r>
            <w:r w:rsidR="00DB363E">
              <w:t xml:space="preserve"> předložení přehledu průměrného ročního počtu zaměstnanců dodavatele nebo jiných osob podílejících se na plnění zakázek podobného charakteru a počtu vedoucích </w:t>
            </w:r>
            <w:r w:rsidR="003B6A30">
              <w:t>zaměstnanců dodavatele nebo osob v obdobném postavení.</w:t>
            </w:r>
          </w:p>
        </w:tc>
        <w:tc>
          <w:tcPr>
            <w:tcW w:w="3820" w:type="dxa"/>
          </w:tcPr>
          <w:p w:rsidR="00A230A5" w:rsidRDefault="00BC64B7">
            <w:r w:rsidRPr="00556928">
              <w:rPr>
                <w:i/>
              </w:rPr>
              <w:t>Nejedná se o veřejnou zakázku na služby</w:t>
            </w:r>
            <w:r>
              <w:rPr>
                <w:i/>
              </w:rPr>
              <w:t xml:space="preserve"> stavební práce.</w:t>
            </w:r>
          </w:p>
        </w:tc>
      </w:tr>
      <w:tr w:rsidR="00A230A5" w:rsidTr="00383BEB">
        <w:tc>
          <w:tcPr>
            <w:tcW w:w="4968" w:type="dxa"/>
            <w:shd w:val="clear" w:color="auto" w:fill="FBE4D5"/>
          </w:tcPr>
          <w:p w:rsidR="00A230A5" w:rsidRDefault="00A230A5">
            <w:r>
              <w:t>Odůvodnění přiměřenosti požadavku na</w:t>
            </w:r>
            <w:r w:rsidR="003B6A30">
              <w:t xml:space="preserve">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3820" w:type="dxa"/>
          </w:tcPr>
          <w:p w:rsidR="00A230A5" w:rsidRPr="00327339" w:rsidRDefault="00BC64B7">
            <w:pPr>
              <w:rPr>
                <w:i/>
              </w:rPr>
            </w:pPr>
            <w:r w:rsidRPr="00556928">
              <w:rPr>
                <w:i/>
              </w:rPr>
              <w:t>Nejedná se o veřejnou zakázku na služby</w:t>
            </w:r>
            <w:r>
              <w:rPr>
                <w:i/>
              </w:rPr>
              <w:t xml:space="preserve"> stavební práce.</w:t>
            </w:r>
          </w:p>
        </w:tc>
      </w:tr>
    </w:tbl>
    <w:p w:rsidR="00A230A5" w:rsidRDefault="00A230A5"/>
    <w:p w:rsidR="003B6A30" w:rsidRDefault="003B6A30"/>
    <w:p w:rsidR="003B6A30" w:rsidRDefault="003B6A30"/>
    <w:p w:rsidR="003B6A30" w:rsidRDefault="003B6A30"/>
    <w:p w:rsidR="003B6A30" w:rsidRDefault="003B6A30"/>
    <w:p w:rsidR="00132419" w:rsidRDefault="00132419"/>
    <w:p w:rsidR="00132419" w:rsidRDefault="00132419"/>
    <w:p w:rsidR="00132419" w:rsidRDefault="00132419"/>
    <w:p w:rsidR="00132419" w:rsidRDefault="00132419"/>
    <w:p w:rsidR="00132419" w:rsidRDefault="001324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3B6A30" w:rsidTr="00383BEB">
        <w:tc>
          <w:tcPr>
            <w:tcW w:w="9212" w:type="dxa"/>
            <w:gridSpan w:val="2"/>
            <w:shd w:val="clear" w:color="auto" w:fill="FBE4D5"/>
          </w:tcPr>
          <w:p w:rsidR="003B6A30" w:rsidRPr="002F1D1E" w:rsidRDefault="003B6A30" w:rsidP="002F1D1E">
            <w:pPr>
              <w:jc w:val="center"/>
              <w:rPr>
                <w:b/>
              </w:rPr>
            </w:pPr>
          </w:p>
          <w:p w:rsidR="003B6A30" w:rsidRPr="002F1D1E" w:rsidRDefault="003B6A30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lastRenderedPageBreak/>
              <w:t>Odůvodnění vymezení obchodních podmínek veřejné zakázky na dodávky a veřejné zakázky na služby podle § 4 vyhlášky</w:t>
            </w:r>
          </w:p>
          <w:p w:rsidR="003B6A30" w:rsidRPr="002F1D1E" w:rsidRDefault="003B6A30" w:rsidP="002F1D1E">
            <w:pPr>
              <w:jc w:val="center"/>
              <w:rPr>
                <w:b/>
              </w:rPr>
            </w:pP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>
              <w:lastRenderedPageBreak/>
              <w:t xml:space="preserve">Odůvodnění vymezení obchodní </w:t>
            </w:r>
            <w:r w:rsidR="00D568BD">
              <w:t>podmínky stanovící</w:t>
            </w:r>
            <w:r>
              <w:t xml:space="preserve"> delší lhůtu splatnosti faktur než 30 dnů.</w:t>
            </w:r>
          </w:p>
        </w:tc>
        <w:tc>
          <w:tcPr>
            <w:tcW w:w="4244" w:type="dxa"/>
          </w:tcPr>
          <w:p w:rsidR="00327339" w:rsidRPr="00F93693" w:rsidRDefault="00BC64B7" w:rsidP="00F4353F">
            <w:pPr>
              <w:rPr>
                <w:i/>
              </w:rPr>
            </w:pPr>
            <w:r w:rsidRPr="003D61DC">
              <w:rPr>
                <w:i/>
              </w:rPr>
              <w:t>Požadovaný limit k odůvodnění není překročen.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 w:rsidRPr="00561232">
              <w:t>Odůvodnění vymezení obchodní podmínky</w:t>
            </w:r>
            <w:r>
              <w:t xml:space="preserve"> stanovící požadavek na pojištění odpovědnosti za škodu způsobenou dodavatelem třetím osobám ve výši přesahující dvojnásobek předpokládané hodnoty veřejné zakázky.</w:t>
            </w:r>
            <w:r w:rsidRPr="00561232">
              <w:t xml:space="preserve"> </w:t>
            </w:r>
          </w:p>
        </w:tc>
        <w:tc>
          <w:tcPr>
            <w:tcW w:w="4244" w:type="dxa"/>
          </w:tcPr>
          <w:p w:rsidR="00327339" w:rsidRPr="00F93693" w:rsidRDefault="00BC64B7" w:rsidP="00F4353F">
            <w:pPr>
              <w:rPr>
                <w:i/>
              </w:rPr>
            </w:pPr>
            <w:r w:rsidRPr="003D61DC">
              <w:rPr>
                <w:i/>
              </w:rPr>
              <w:t>Požadovaný limit k odůvodnění není překročen.</w:t>
            </w:r>
          </w:p>
        </w:tc>
      </w:tr>
      <w:tr w:rsidR="00327339" w:rsidTr="00383BEB">
        <w:tc>
          <w:tcPr>
            <w:tcW w:w="4968" w:type="dxa"/>
            <w:shd w:val="clear" w:color="auto" w:fill="FBE4D5"/>
          </w:tcPr>
          <w:p w:rsidR="00327339" w:rsidRDefault="00327339">
            <w:r w:rsidRPr="00561232">
              <w:t xml:space="preserve">Odůvodnění vymezení obchodní podmínky </w:t>
            </w:r>
            <w:r>
              <w:t>stanovící požadavek bankovní záruky vyšší než je 5 % ceny veřejné zakázky.</w:t>
            </w:r>
          </w:p>
        </w:tc>
        <w:tc>
          <w:tcPr>
            <w:tcW w:w="4244" w:type="dxa"/>
          </w:tcPr>
          <w:p w:rsidR="00327339" w:rsidRPr="00F93693" w:rsidRDefault="00BC64B7" w:rsidP="00F4353F">
            <w:pPr>
              <w:rPr>
                <w:i/>
              </w:rPr>
            </w:pPr>
            <w:r w:rsidRPr="003D61DC">
              <w:rPr>
                <w:i/>
              </w:rPr>
              <w:t>Požadovaný limit k odůvodnění není překročen.</w:t>
            </w:r>
          </w:p>
        </w:tc>
      </w:tr>
      <w:tr w:rsidR="00BC64B7" w:rsidTr="00383BEB">
        <w:tc>
          <w:tcPr>
            <w:tcW w:w="4968" w:type="dxa"/>
            <w:shd w:val="clear" w:color="auto" w:fill="FBE4D5"/>
          </w:tcPr>
          <w:p w:rsidR="00BC64B7" w:rsidRDefault="00BC64B7" w:rsidP="00BC64B7">
            <w:r w:rsidRPr="00561232">
              <w:t xml:space="preserve">Odůvodnění vymezení obchodní podmínky </w:t>
            </w:r>
            <w:r>
              <w:t>stanovící požadavek záruční lhůtu delší než 24 měsíců.</w:t>
            </w:r>
          </w:p>
        </w:tc>
        <w:tc>
          <w:tcPr>
            <w:tcW w:w="4244" w:type="dxa"/>
          </w:tcPr>
          <w:p w:rsidR="00BC64B7" w:rsidRPr="00BC64B7" w:rsidRDefault="00BC64B7" w:rsidP="00BC64B7">
            <w:pPr>
              <w:ind w:right="-144"/>
              <w:contextualSpacing/>
              <w:rPr>
                <w:rFonts w:cs="Arial"/>
                <w:i/>
                <w:sz w:val="22"/>
                <w:szCs w:val="22"/>
              </w:rPr>
            </w:pPr>
            <w:r w:rsidRPr="00BC64B7">
              <w:rPr>
                <w:rFonts w:cs="Arial"/>
                <w:i/>
                <w:sz w:val="22"/>
                <w:szCs w:val="22"/>
              </w:rPr>
              <w:t>Zadavatel nepožaduje na vozidla záruční lhůtu delší než 24 měsíců, požaduje však delší záruční lhůtu na ochranu proti korozi karoserie a nosných částí vozidel.  Tento požadavek je v souladu s technickými podmínkami a požadavky v rámci dodávek motorových vozidel.</w:t>
            </w:r>
          </w:p>
        </w:tc>
      </w:tr>
      <w:tr w:rsidR="00BC64B7" w:rsidTr="00383BEB">
        <w:tc>
          <w:tcPr>
            <w:tcW w:w="4968" w:type="dxa"/>
            <w:shd w:val="clear" w:color="auto" w:fill="FBE4D5"/>
          </w:tcPr>
          <w:p w:rsidR="00BC64B7" w:rsidRDefault="00BC64B7" w:rsidP="00BC64B7">
            <w:r w:rsidRPr="00561232">
              <w:t>Odůvodnění vymezení obchodní podmínky</w:t>
            </w:r>
            <w:r>
              <w:t xml:space="preserve"> stanovící smluvní pokutu za prodlení dodavatele vyšší než 0,2 % z předpokládané hodnoty veřejné zakázky za každý den prodlení.</w:t>
            </w:r>
            <w:r w:rsidRPr="00561232">
              <w:t xml:space="preserve"> </w:t>
            </w:r>
          </w:p>
        </w:tc>
        <w:tc>
          <w:tcPr>
            <w:tcW w:w="4244" w:type="dxa"/>
          </w:tcPr>
          <w:p w:rsidR="00BC64B7" w:rsidRPr="00F93693" w:rsidRDefault="00BC64B7" w:rsidP="00BC64B7">
            <w:pPr>
              <w:rPr>
                <w:i/>
              </w:rPr>
            </w:pPr>
            <w:r w:rsidRPr="003D61DC">
              <w:rPr>
                <w:i/>
              </w:rPr>
              <w:t>Požadovaný limit k odůvodnění není překročen.</w:t>
            </w:r>
          </w:p>
        </w:tc>
      </w:tr>
      <w:tr w:rsidR="00662A65" w:rsidTr="00383BEB">
        <w:tc>
          <w:tcPr>
            <w:tcW w:w="4968" w:type="dxa"/>
            <w:shd w:val="clear" w:color="auto" w:fill="FBE4D5"/>
          </w:tcPr>
          <w:p w:rsidR="00662A65" w:rsidRDefault="00662A65" w:rsidP="00662A65">
            <w:r w:rsidRPr="00561232">
              <w:t xml:space="preserve">Odůvodnění vymezení obchodní podmínky </w:t>
            </w:r>
            <w:r>
              <w:t>stanovící smluvní pokutu za prodlení zadavatele s úhradou faktur vyšší než 0,05 % z dlužné částky za každý den prodlení.</w:t>
            </w:r>
          </w:p>
        </w:tc>
        <w:tc>
          <w:tcPr>
            <w:tcW w:w="4244" w:type="dxa"/>
          </w:tcPr>
          <w:p w:rsidR="00662A65" w:rsidRPr="00F93693" w:rsidRDefault="00662A65" w:rsidP="00662A65">
            <w:pPr>
              <w:rPr>
                <w:i/>
              </w:rPr>
            </w:pPr>
            <w:r w:rsidRPr="003D61DC">
              <w:rPr>
                <w:i/>
              </w:rPr>
              <w:t>Požadovaný limit k odůvodnění není překročen.</w:t>
            </w:r>
          </w:p>
        </w:tc>
      </w:tr>
      <w:tr w:rsidR="00BC64B7" w:rsidTr="00383BEB">
        <w:tc>
          <w:tcPr>
            <w:tcW w:w="4968" w:type="dxa"/>
            <w:shd w:val="clear" w:color="auto" w:fill="FBE4D5"/>
          </w:tcPr>
          <w:p w:rsidR="00BC64B7" w:rsidRDefault="00BC64B7" w:rsidP="00BC64B7">
            <w:r w:rsidRPr="00561232">
              <w:t>Odůvodnění vymezení</w:t>
            </w:r>
            <w:r>
              <w:t xml:space="preserve"> dalších </w:t>
            </w:r>
            <w:r w:rsidRPr="00561232">
              <w:t>obchodních podmín</w:t>
            </w:r>
            <w:r>
              <w:t>e</w:t>
            </w:r>
            <w:r w:rsidRPr="00561232">
              <w:t>k</w:t>
            </w:r>
            <w:r>
              <w:t xml:space="preserve"> dle § 5 odst. 2. Veřejný zadavatel odůvodní vymezení obchodních podmínek veřejné zakázky na dodávky a veřejné zakázky na služby ve vztahu ke svým potřebám a k rizikům souvisejícím s plnění veřejné zakázky. </w:t>
            </w:r>
            <w:r w:rsidRPr="00561232">
              <w:t xml:space="preserve"> </w:t>
            </w:r>
          </w:p>
        </w:tc>
        <w:tc>
          <w:tcPr>
            <w:tcW w:w="4244" w:type="dxa"/>
          </w:tcPr>
          <w:p w:rsidR="00BC64B7" w:rsidRPr="00BC64B7" w:rsidRDefault="00BC64B7" w:rsidP="00BC64B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C64B7">
              <w:rPr>
                <w:rFonts w:cs="Arial"/>
                <w:i/>
                <w:sz w:val="22"/>
                <w:szCs w:val="22"/>
              </w:rPr>
              <w:t xml:space="preserve">Zadavatel nestanovil jiné obchodní podmínky </w:t>
            </w:r>
            <w:r>
              <w:rPr>
                <w:rFonts w:cs="Arial"/>
                <w:i/>
                <w:sz w:val="22"/>
                <w:szCs w:val="22"/>
              </w:rPr>
              <w:t>veřejné zakázky</w:t>
            </w:r>
            <w:r w:rsidRPr="00BC64B7">
              <w:rPr>
                <w:rFonts w:cs="StempelGaramondLTPro-Roman"/>
                <w:i/>
                <w:sz w:val="22"/>
                <w:szCs w:val="22"/>
              </w:rPr>
              <w:t xml:space="preserve"> na dodávky, než ty, které stanoví vyhláška v § 4</w:t>
            </w:r>
            <w:r w:rsidRPr="00BC64B7">
              <w:rPr>
                <w:i/>
                <w:sz w:val="22"/>
                <w:szCs w:val="22"/>
              </w:rPr>
              <w:t>.</w:t>
            </w:r>
          </w:p>
        </w:tc>
      </w:tr>
    </w:tbl>
    <w:p w:rsidR="003B6A30" w:rsidRDefault="003B6A30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56222D"/>
    <w:p w:rsidR="0056222D" w:rsidRDefault="003734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56222D" w:rsidTr="00383BEB">
        <w:tc>
          <w:tcPr>
            <w:tcW w:w="9212" w:type="dxa"/>
            <w:gridSpan w:val="2"/>
            <w:shd w:val="clear" w:color="auto" w:fill="FBE4D5"/>
          </w:tcPr>
          <w:p w:rsidR="0056222D" w:rsidRPr="002F1D1E" w:rsidRDefault="0056222D">
            <w:pPr>
              <w:rPr>
                <w:b/>
              </w:rPr>
            </w:pPr>
          </w:p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vymezení technických podmínek veřejné zakázky podle § 5 vyhlášky</w:t>
            </w:r>
          </w:p>
          <w:p w:rsidR="0056222D" w:rsidRPr="002F1D1E" w:rsidRDefault="0056222D">
            <w:pPr>
              <w:rPr>
                <w:b/>
              </w:rPr>
            </w:pPr>
          </w:p>
        </w:tc>
      </w:tr>
      <w:tr w:rsidR="0056222D" w:rsidTr="00D67FC7">
        <w:tc>
          <w:tcPr>
            <w:tcW w:w="4644" w:type="dxa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Technická podmínka</w:t>
            </w:r>
          </w:p>
        </w:tc>
        <w:tc>
          <w:tcPr>
            <w:tcW w:w="4568" w:type="dxa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technické podmínky</w:t>
            </w:r>
          </w:p>
        </w:tc>
      </w:tr>
      <w:tr w:rsidR="0056222D" w:rsidTr="00383BEB">
        <w:tc>
          <w:tcPr>
            <w:tcW w:w="4644" w:type="dxa"/>
            <w:shd w:val="clear" w:color="auto" w:fill="FBE4D5"/>
          </w:tcPr>
          <w:p w:rsidR="00D568BD" w:rsidRDefault="00D568BD">
            <w:r>
              <w:t>Technické podmínky nejsou stanoveny nad rozsah technických charakteristik, popisů a podmínek provádění stavebních prací uvedených v zadávací dokumentaci podle § 44 odst. 4 zákona</w:t>
            </w:r>
            <w:r w:rsidR="00B63904">
              <w:t xml:space="preserve"> č. 137/2006 Sb.,</w:t>
            </w:r>
            <w:r>
              <w:t xml:space="preserve"> o veřejných zakázkách</w:t>
            </w:r>
            <w:r w:rsidR="00B63904">
              <w:t xml:space="preserve"> v platném znění (dále také zákon)</w:t>
            </w:r>
            <w:r>
              <w:t>.</w:t>
            </w:r>
          </w:p>
        </w:tc>
        <w:tc>
          <w:tcPr>
            <w:tcW w:w="4568" w:type="dxa"/>
          </w:tcPr>
          <w:p w:rsidR="0056222D" w:rsidRPr="00C86DB0" w:rsidRDefault="00C86DB0" w:rsidP="00832A29">
            <w:pPr>
              <w:rPr>
                <w:i/>
              </w:rPr>
            </w:pPr>
            <w:r w:rsidRPr="00C86DB0">
              <w:rPr>
                <w:rFonts w:cs="Arial"/>
                <w:i/>
                <w:sz w:val="22"/>
                <w:szCs w:val="22"/>
              </w:rPr>
              <w:t>Požadavky na technické podmínky jsou v souladu s předmětem, rozsahem a složitostí předmětu veřejné zakázky - požadavek na nižší úroveň technických podmínek by představoval riziko nesplnění požadavků zadavatele na nezbytnou technickou úroveň vozidel.</w:t>
            </w:r>
          </w:p>
        </w:tc>
      </w:tr>
    </w:tbl>
    <w:p w:rsidR="0056222D" w:rsidRDefault="005622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222D" w:rsidTr="00383BEB">
        <w:tc>
          <w:tcPr>
            <w:tcW w:w="9212" w:type="dxa"/>
            <w:gridSpan w:val="2"/>
            <w:shd w:val="clear" w:color="auto" w:fill="FBE4D5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</w:p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stanovení základních a dílčích hodnotících kritérií podle § 6 vyhlášky</w:t>
            </w:r>
          </w:p>
          <w:p w:rsidR="0056222D" w:rsidRPr="002F1D1E" w:rsidRDefault="0056222D" w:rsidP="002F1D1E">
            <w:pPr>
              <w:jc w:val="center"/>
              <w:rPr>
                <w:b/>
              </w:rPr>
            </w:pPr>
          </w:p>
        </w:tc>
      </w:tr>
      <w:tr w:rsidR="0056222D" w:rsidTr="002F1D1E">
        <w:tc>
          <w:tcPr>
            <w:tcW w:w="4606" w:type="dxa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Hodnotící kritérium</w:t>
            </w:r>
          </w:p>
        </w:tc>
        <w:tc>
          <w:tcPr>
            <w:tcW w:w="4606" w:type="dxa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</w:t>
            </w:r>
          </w:p>
        </w:tc>
      </w:tr>
      <w:tr w:rsidR="00C86DB0" w:rsidTr="00383BEB">
        <w:tc>
          <w:tcPr>
            <w:tcW w:w="4606" w:type="dxa"/>
            <w:shd w:val="clear" w:color="auto" w:fill="FBE4D5"/>
          </w:tcPr>
          <w:p w:rsidR="00C86DB0" w:rsidRDefault="00C86DB0" w:rsidP="00C86DB0">
            <w:r>
              <w:t>Ekonomická výhodnost nabídky</w:t>
            </w:r>
          </w:p>
          <w:p w:rsidR="00C86DB0" w:rsidRDefault="00C86DB0" w:rsidP="00C86DB0"/>
          <w:p w:rsidR="00C86DB0" w:rsidRDefault="00C86DB0" w:rsidP="00C86DB0"/>
        </w:tc>
        <w:tc>
          <w:tcPr>
            <w:tcW w:w="4606" w:type="dxa"/>
          </w:tcPr>
          <w:p w:rsidR="00C86DB0" w:rsidRPr="00377A97" w:rsidRDefault="00C86DB0" w:rsidP="00C86DB0">
            <w:pPr>
              <w:contextualSpacing/>
              <w:rPr>
                <w:rFonts w:cs="Arial"/>
                <w:i/>
                <w:sz w:val="10"/>
                <w:szCs w:val="10"/>
              </w:rPr>
            </w:pPr>
          </w:p>
          <w:p w:rsidR="00C86DB0" w:rsidRPr="00377A97" w:rsidRDefault="00C86DB0" w:rsidP="00C86DB0">
            <w:pPr>
              <w:contextualSpacing/>
              <w:rPr>
                <w:rFonts w:cs="Arial"/>
                <w:i/>
                <w:sz w:val="22"/>
                <w:szCs w:val="22"/>
              </w:rPr>
            </w:pPr>
            <w:r w:rsidRPr="00377A97">
              <w:rPr>
                <w:rFonts w:cs="Arial"/>
                <w:i/>
                <w:sz w:val="22"/>
                <w:szCs w:val="22"/>
              </w:rPr>
              <w:t>Jako základní hodnotící kritérium byla zvolena ve smyslu § 78 odst. 1 písm. a) zákona ekonomická výhodnost nabídky, neboť nejlépe odpovídá potřebám zadavatele ve vztahu k předmětu veřejné zakázky. Hodnocena budou tato kritéria:</w:t>
            </w:r>
          </w:p>
          <w:p w:rsidR="00C86DB0" w:rsidRPr="00377A97" w:rsidRDefault="00C86DB0" w:rsidP="00C86DB0">
            <w:pPr>
              <w:contextualSpacing/>
              <w:rPr>
                <w:rFonts w:cs="Arial"/>
                <w:i/>
                <w:sz w:val="10"/>
                <w:szCs w:val="10"/>
              </w:rPr>
            </w:pPr>
          </w:p>
          <w:p w:rsidR="00C86DB0" w:rsidRPr="00377A97" w:rsidRDefault="00C86DB0" w:rsidP="00C86DB0">
            <w:pPr>
              <w:numPr>
                <w:ilvl w:val="0"/>
                <w:numId w:val="3"/>
              </w:numPr>
              <w:contextualSpacing/>
              <w:rPr>
                <w:rFonts w:cs="Calibri"/>
                <w:bCs/>
                <w:i/>
                <w:sz w:val="22"/>
                <w:szCs w:val="22"/>
              </w:rPr>
            </w:pPr>
            <w:r w:rsidRPr="00377A97">
              <w:rPr>
                <w:rFonts w:cs="Calibri"/>
                <w:bCs/>
                <w:i/>
                <w:sz w:val="22"/>
                <w:szCs w:val="22"/>
              </w:rPr>
              <w:t xml:space="preserve">Celková nabídková cena               </w:t>
            </w:r>
            <w:r w:rsidR="00AB1412" w:rsidRPr="00377A97">
              <w:rPr>
                <w:rFonts w:cs="Calibri"/>
                <w:bCs/>
                <w:i/>
                <w:sz w:val="22"/>
                <w:szCs w:val="22"/>
              </w:rPr>
              <w:t>65</w:t>
            </w:r>
            <w:r w:rsidRPr="00377A97">
              <w:rPr>
                <w:rFonts w:cs="Calibri"/>
                <w:bCs/>
                <w:i/>
                <w:sz w:val="22"/>
                <w:szCs w:val="22"/>
              </w:rPr>
              <w:t>%</w:t>
            </w:r>
          </w:p>
          <w:p w:rsidR="00C86DB0" w:rsidRPr="00377A97" w:rsidRDefault="00C86DB0" w:rsidP="00C86DB0">
            <w:pPr>
              <w:numPr>
                <w:ilvl w:val="0"/>
                <w:numId w:val="3"/>
              </w:numPr>
              <w:contextualSpacing/>
              <w:rPr>
                <w:rFonts w:cs="Calibri"/>
                <w:bCs/>
                <w:i/>
                <w:sz w:val="22"/>
                <w:szCs w:val="22"/>
              </w:rPr>
            </w:pPr>
            <w:r w:rsidRPr="00377A97">
              <w:rPr>
                <w:rFonts w:cs="Calibri"/>
                <w:bCs/>
                <w:i/>
                <w:sz w:val="22"/>
                <w:szCs w:val="22"/>
              </w:rPr>
              <w:t xml:space="preserve">Servisní služby </w:t>
            </w:r>
            <w:r w:rsidR="00377A97" w:rsidRPr="00377A97">
              <w:rPr>
                <w:rFonts w:cs="Calibri"/>
                <w:bCs/>
                <w:i/>
                <w:sz w:val="22"/>
                <w:szCs w:val="22"/>
              </w:rPr>
              <w:t xml:space="preserve">                             16</w:t>
            </w:r>
            <w:r w:rsidRPr="00377A97">
              <w:rPr>
                <w:rFonts w:cs="Calibri"/>
                <w:bCs/>
                <w:i/>
                <w:sz w:val="22"/>
                <w:szCs w:val="22"/>
              </w:rPr>
              <w:t>%</w:t>
            </w:r>
          </w:p>
          <w:p w:rsidR="00C86DB0" w:rsidRPr="00377A97" w:rsidRDefault="00C86DB0" w:rsidP="00C86DB0">
            <w:pPr>
              <w:numPr>
                <w:ilvl w:val="0"/>
                <w:numId w:val="3"/>
              </w:numPr>
              <w:contextualSpacing/>
              <w:rPr>
                <w:rFonts w:cs="Calibri"/>
                <w:bCs/>
                <w:i/>
                <w:sz w:val="22"/>
                <w:szCs w:val="22"/>
              </w:rPr>
            </w:pPr>
            <w:r w:rsidRPr="00377A97">
              <w:rPr>
                <w:rFonts w:cs="Calibri"/>
                <w:bCs/>
                <w:i/>
                <w:sz w:val="22"/>
                <w:szCs w:val="22"/>
              </w:rPr>
              <w:t>Technické prvky a tech. řešení     1</w:t>
            </w:r>
            <w:r w:rsidR="00377A97" w:rsidRPr="00377A97">
              <w:rPr>
                <w:rFonts w:cs="Calibri"/>
                <w:bCs/>
                <w:i/>
                <w:sz w:val="22"/>
                <w:szCs w:val="22"/>
              </w:rPr>
              <w:t>4</w:t>
            </w:r>
            <w:r w:rsidRPr="00377A97">
              <w:rPr>
                <w:rFonts w:cs="Calibri"/>
                <w:bCs/>
                <w:i/>
                <w:sz w:val="22"/>
                <w:szCs w:val="22"/>
              </w:rPr>
              <w:t>%</w:t>
            </w:r>
          </w:p>
          <w:p w:rsidR="00C86DB0" w:rsidRPr="00377A97" w:rsidRDefault="00C86DB0" w:rsidP="00C86DB0">
            <w:pPr>
              <w:numPr>
                <w:ilvl w:val="0"/>
                <w:numId w:val="3"/>
              </w:numPr>
              <w:contextualSpacing/>
              <w:rPr>
                <w:rFonts w:cs="Arial"/>
                <w:i/>
                <w:sz w:val="22"/>
                <w:szCs w:val="22"/>
              </w:rPr>
            </w:pPr>
            <w:r w:rsidRPr="00377A97">
              <w:rPr>
                <w:rFonts w:cs="Calibri"/>
                <w:bCs/>
                <w:i/>
                <w:sz w:val="22"/>
                <w:szCs w:val="22"/>
              </w:rPr>
              <w:t>Ce</w:t>
            </w:r>
            <w:r w:rsidR="00377A97" w:rsidRPr="00377A97">
              <w:rPr>
                <w:rFonts w:cs="Calibri"/>
                <w:bCs/>
                <w:i/>
                <w:sz w:val="22"/>
                <w:szCs w:val="22"/>
              </w:rPr>
              <w:t>na vybraných náhradních dílů   5</w:t>
            </w:r>
            <w:r w:rsidRPr="00377A97">
              <w:rPr>
                <w:rFonts w:cs="Calibri"/>
                <w:bCs/>
                <w:i/>
                <w:sz w:val="22"/>
                <w:szCs w:val="22"/>
              </w:rPr>
              <w:t>%</w:t>
            </w:r>
          </w:p>
          <w:p w:rsidR="00C86DB0" w:rsidRPr="00377A97" w:rsidRDefault="00C86DB0" w:rsidP="00C86DB0">
            <w:pPr>
              <w:ind w:left="720"/>
              <w:contextualSpacing/>
              <w:rPr>
                <w:rFonts w:cs="Arial"/>
                <w:bCs/>
                <w:i/>
                <w:sz w:val="22"/>
                <w:szCs w:val="22"/>
              </w:rPr>
            </w:pPr>
          </w:p>
          <w:p w:rsidR="00C86DB0" w:rsidRPr="00377A97" w:rsidRDefault="00C86DB0" w:rsidP="00C86DB0">
            <w:pPr>
              <w:ind w:left="33"/>
              <w:contextualSpacing/>
              <w:rPr>
                <w:rFonts w:cs="Arial"/>
                <w:i/>
                <w:sz w:val="22"/>
                <w:szCs w:val="22"/>
              </w:rPr>
            </w:pPr>
            <w:r w:rsidRPr="00377A97">
              <w:rPr>
                <w:rFonts w:cs="Arial"/>
                <w:bCs/>
                <w:i/>
                <w:sz w:val="22"/>
                <w:szCs w:val="22"/>
              </w:rPr>
              <w:t>Zvolený způsob hodnocení eliminuje riziko nedodržení požadované kvality celé obsáhlé a komplexní zakázky  - zadavatel stanovil transparentní způsob hodnocení ekonomické výhodnosti nabídek, kde bude kromě nabídkové ceny jednotlivých vozidel hodnocena také cena nejčastěji měněných náhradních dílů, technická kvalita, a dále provozní a servisní náklady v průběhu pozáručních oprav.</w:t>
            </w:r>
          </w:p>
        </w:tc>
      </w:tr>
    </w:tbl>
    <w:p w:rsidR="00C75C99" w:rsidRDefault="00C75C99"/>
    <w:p w:rsidR="0056222D" w:rsidRDefault="00C75C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222D" w:rsidTr="00383BEB">
        <w:tc>
          <w:tcPr>
            <w:tcW w:w="9212" w:type="dxa"/>
            <w:gridSpan w:val="2"/>
            <w:shd w:val="clear" w:color="auto" w:fill="FBE4D5"/>
          </w:tcPr>
          <w:p w:rsidR="00674C3A" w:rsidRPr="002F1D1E" w:rsidRDefault="00674C3A" w:rsidP="002F1D1E">
            <w:pPr>
              <w:jc w:val="center"/>
              <w:rPr>
                <w:b/>
              </w:rPr>
            </w:pPr>
          </w:p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 předpokládané hodnoty veřejné zakázky podle § 7 vyhlášky</w:t>
            </w:r>
          </w:p>
          <w:p w:rsidR="00674C3A" w:rsidRPr="002F1D1E" w:rsidRDefault="00674C3A" w:rsidP="002F1D1E">
            <w:pPr>
              <w:jc w:val="center"/>
              <w:rPr>
                <w:b/>
              </w:rPr>
            </w:pPr>
          </w:p>
        </w:tc>
      </w:tr>
      <w:tr w:rsidR="0056222D" w:rsidTr="002F1D1E">
        <w:tc>
          <w:tcPr>
            <w:tcW w:w="4606" w:type="dxa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Hodnota</w:t>
            </w:r>
          </w:p>
        </w:tc>
        <w:tc>
          <w:tcPr>
            <w:tcW w:w="4606" w:type="dxa"/>
          </w:tcPr>
          <w:p w:rsidR="0056222D" w:rsidRPr="002F1D1E" w:rsidRDefault="0056222D" w:rsidP="002F1D1E">
            <w:pPr>
              <w:jc w:val="center"/>
              <w:rPr>
                <w:b/>
              </w:rPr>
            </w:pPr>
            <w:r w:rsidRPr="002F1D1E">
              <w:rPr>
                <w:b/>
              </w:rPr>
              <w:t>Odůvodnění</w:t>
            </w:r>
          </w:p>
        </w:tc>
      </w:tr>
      <w:tr w:rsidR="00B63904" w:rsidTr="00383BEB">
        <w:tc>
          <w:tcPr>
            <w:tcW w:w="4606" w:type="dxa"/>
            <w:shd w:val="clear" w:color="auto" w:fill="FBE4D5"/>
          </w:tcPr>
          <w:p w:rsidR="00B63904" w:rsidRPr="00B63904" w:rsidRDefault="00B63904" w:rsidP="00B63904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  <w:u w:val="single"/>
              </w:rPr>
            </w:pPr>
            <w:r w:rsidRPr="00B63904">
              <w:rPr>
                <w:rFonts w:cs="Calibri"/>
                <w:i/>
                <w:sz w:val="22"/>
                <w:szCs w:val="22"/>
              </w:rPr>
              <w:t>Ke dni odeslání oznámení k</w:t>
            </w:r>
            <w:r>
              <w:rPr>
                <w:rFonts w:cs="Calibri"/>
                <w:i/>
                <w:sz w:val="22"/>
                <w:szCs w:val="22"/>
              </w:rPr>
              <w:t xml:space="preserve"> </w:t>
            </w:r>
            <w:r w:rsidRPr="00B63904">
              <w:rPr>
                <w:rFonts w:cs="Calibri"/>
                <w:i/>
                <w:sz w:val="22"/>
                <w:szCs w:val="22"/>
              </w:rPr>
              <w:t xml:space="preserve">uveřejnění činí předpokládaná hodnota </w:t>
            </w:r>
            <w:r w:rsidRPr="00B63904">
              <w:rPr>
                <w:rFonts w:cs="Arial"/>
                <w:i/>
                <w:sz w:val="22"/>
                <w:szCs w:val="22"/>
              </w:rPr>
              <w:t>veřejné zakázky 1</w:t>
            </w:r>
            <w:r>
              <w:rPr>
                <w:rFonts w:cs="Arial"/>
                <w:i/>
                <w:sz w:val="22"/>
                <w:szCs w:val="22"/>
              </w:rPr>
              <w:t>0</w:t>
            </w:r>
            <w:r w:rsidRPr="00B63904">
              <w:rPr>
                <w:rFonts w:cs="Arial"/>
                <w:i/>
                <w:sz w:val="22"/>
                <w:szCs w:val="22"/>
              </w:rPr>
              <w:t xml:space="preserve">0 </w:t>
            </w:r>
            <w:r w:rsidRPr="00B63904">
              <w:rPr>
                <w:rStyle w:val="Siln"/>
                <w:b w:val="0"/>
                <w:i/>
                <w:sz w:val="22"/>
                <w:szCs w:val="22"/>
              </w:rPr>
              <w:t>milionů Kč</w:t>
            </w:r>
            <w:r w:rsidRPr="00B63904"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  <w:r w:rsidRPr="00B63904">
              <w:rPr>
                <w:rFonts w:cs="Calibri"/>
                <w:i/>
                <w:sz w:val="22"/>
                <w:szCs w:val="22"/>
              </w:rPr>
              <w:t>bez DPH.</w:t>
            </w:r>
          </w:p>
          <w:p w:rsidR="00B63904" w:rsidRPr="00B63904" w:rsidRDefault="00B63904" w:rsidP="00B63904">
            <w:pPr>
              <w:contextualSpacing/>
              <w:rPr>
                <w:rFonts w:cs="Arial"/>
                <w:i/>
                <w:sz w:val="22"/>
                <w:szCs w:val="22"/>
              </w:rPr>
            </w:pPr>
            <w:r w:rsidRPr="00B63904">
              <w:rPr>
                <w:rFonts w:cs="Arial"/>
                <w:i/>
                <w:sz w:val="22"/>
                <w:szCs w:val="22"/>
              </w:rPr>
              <w:t xml:space="preserve">(nadlimitní veřejná zakázka a současně významná veřejná zakázka ve smyslu § 16a </w:t>
            </w:r>
            <w:r>
              <w:rPr>
                <w:rFonts w:cs="Arial"/>
                <w:i/>
                <w:sz w:val="22"/>
                <w:szCs w:val="22"/>
              </w:rPr>
              <w:t>zákona</w:t>
            </w:r>
            <w:r w:rsidRPr="00B63904">
              <w:rPr>
                <w:rFonts w:cs="Arial"/>
                <w:i/>
                <w:sz w:val="22"/>
                <w:szCs w:val="22"/>
              </w:rPr>
              <w:t>).</w:t>
            </w:r>
          </w:p>
          <w:p w:rsidR="00B63904" w:rsidRDefault="00B63904" w:rsidP="00B63904"/>
        </w:tc>
        <w:tc>
          <w:tcPr>
            <w:tcW w:w="4606" w:type="dxa"/>
          </w:tcPr>
          <w:p w:rsidR="00B63904" w:rsidRPr="00B63904" w:rsidRDefault="00B63904" w:rsidP="00C75C99">
            <w:pPr>
              <w:contextualSpacing/>
              <w:jc w:val="both"/>
              <w:rPr>
                <w:rFonts w:cs="Arial"/>
                <w:i/>
                <w:sz w:val="22"/>
                <w:szCs w:val="22"/>
              </w:rPr>
            </w:pPr>
          </w:p>
          <w:p w:rsidR="00B63904" w:rsidRPr="00B63904" w:rsidRDefault="00B63904" w:rsidP="00C75C99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2"/>
                <w:szCs w:val="22"/>
              </w:rPr>
            </w:pPr>
            <w:r w:rsidRPr="00B63904">
              <w:rPr>
                <w:rFonts w:cs="Arial"/>
                <w:i/>
                <w:sz w:val="22"/>
                <w:szCs w:val="22"/>
              </w:rPr>
              <w:t xml:space="preserve">Předpokládaná hodnota </w:t>
            </w:r>
            <w:r w:rsidRPr="00B63904">
              <w:rPr>
                <w:i/>
                <w:sz w:val="22"/>
                <w:szCs w:val="22"/>
              </w:rPr>
              <w:t xml:space="preserve">veřejné zakázky byla stanovena na základě </w:t>
            </w:r>
            <w:r w:rsidRPr="00B63904">
              <w:rPr>
                <w:rFonts w:cs="Calibri"/>
                <w:i/>
                <w:sz w:val="22"/>
                <w:szCs w:val="22"/>
              </w:rPr>
              <w:t>údajů a informací o zakázkách stejného či podobného předmětu plnění.</w:t>
            </w:r>
          </w:p>
          <w:p w:rsidR="00B63904" w:rsidRPr="00B63904" w:rsidRDefault="00B63904" w:rsidP="00C75C9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B63904" w:rsidRPr="00B63904" w:rsidRDefault="00B63904" w:rsidP="00C75C99">
            <w:pPr>
              <w:ind w:left="33"/>
              <w:jc w:val="both"/>
              <w:rPr>
                <w:rFonts w:cs="Calibri"/>
                <w:i/>
                <w:sz w:val="22"/>
                <w:szCs w:val="22"/>
              </w:rPr>
            </w:pPr>
            <w:r w:rsidRPr="00B63904">
              <w:rPr>
                <w:rFonts w:cs="Calibri"/>
                <w:i/>
                <w:sz w:val="22"/>
                <w:szCs w:val="22"/>
              </w:rPr>
              <w:t xml:space="preserve">Předpokládaná hodnota veřejné zakázky, stanovená v rámci předběžného rozpočtu činí </w:t>
            </w:r>
            <w:r w:rsidRPr="00C75C99">
              <w:rPr>
                <w:rFonts w:cs="Calibri"/>
                <w:i/>
                <w:sz w:val="22"/>
                <w:szCs w:val="22"/>
              </w:rPr>
              <w:t>1</w:t>
            </w:r>
            <w:r w:rsidR="00C75C99" w:rsidRPr="00C75C99">
              <w:rPr>
                <w:rFonts w:cs="Calibri"/>
                <w:i/>
                <w:sz w:val="22"/>
                <w:szCs w:val="22"/>
              </w:rPr>
              <w:t>0</w:t>
            </w:r>
            <w:r w:rsidRPr="00C75C99">
              <w:rPr>
                <w:rFonts w:cs="Calibri"/>
                <w:i/>
                <w:sz w:val="22"/>
                <w:szCs w:val="22"/>
              </w:rPr>
              <w:t>0</w:t>
            </w:r>
            <w:r w:rsidR="00C75C99" w:rsidRPr="00C75C99">
              <w:rPr>
                <w:rFonts w:cs="Calibri"/>
                <w:i/>
                <w:sz w:val="22"/>
                <w:szCs w:val="22"/>
              </w:rPr>
              <w:t> </w:t>
            </w:r>
            <w:r w:rsidRPr="00C75C99">
              <w:rPr>
                <w:rFonts w:cs="Calibri"/>
                <w:i/>
                <w:sz w:val="22"/>
                <w:szCs w:val="22"/>
              </w:rPr>
              <w:t>00</w:t>
            </w:r>
            <w:r w:rsidR="00C75C99" w:rsidRPr="00C75C99">
              <w:rPr>
                <w:rFonts w:cs="Calibri"/>
                <w:i/>
                <w:sz w:val="22"/>
                <w:szCs w:val="22"/>
              </w:rPr>
              <w:t xml:space="preserve">0 </w:t>
            </w:r>
            <w:r w:rsidRPr="00C75C99">
              <w:rPr>
                <w:rFonts w:cs="Calibri"/>
                <w:i/>
                <w:sz w:val="22"/>
                <w:szCs w:val="22"/>
              </w:rPr>
              <w:t>000,- Kč</w:t>
            </w:r>
            <w:r w:rsidRPr="00B63904">
              <w:rPr>
                <w:rFonts w:cs="Calibri"/>
                <w:i/>
                <w:sz w:val="22"/>
                <w:szCs w:val="22"/>
              </w:rPr>
              <w:t xml:space="preserve"> bez DPH. Tato hodnota však může být ke dni zahájení zadávacího řízení ovlivněna řadou faktorů</w:t>
            </w:r>
            <w:r w:rsidR="00E1597E">
              <w:rPr>
                <w:rFonts w:cs="Calibri"/>
                <w:i/>
                <w:sz w:val="22"/>
                <w:szCs w:val="22"/>
              </w:rPr>
              <w:t>, např.</w:t>
            </w:r>
            <w:r w:rsidRPr="00B63904">
              <w:rPr>
                <w:rFonts w:cs="Calibri"/>
                <w:i/>
                <w:sz w:val="22"/>
                <w:szCs w:val="22"/>
              </w:rPr>
              <w:t xml:space="preserve"> </w:t>
            </w:r>
            <w:r w:rsidR="00E1597E">
              <w:rPr>
                <w:rFonts w:cs="Calibri"/>
                <w:i/>
                <w:sz w:val="22"/>
                <w:szCs w:val="22"/>
              </w:rPr>
              <w:t>případným pohybem</w:t>
            </w:r>
            <w:r w:rsidRPr="00B63904">
              <w:rPr>
                <w:rFonts w:cs="Calibri"/>
                <w:i/>
                <w:sz w:val="22"/>
                <w:szCs w:val="22"/>
              </w:rPr>
              <w:t xml:space="preserve"> kurzu Kč </w:t>
            </w:r>
            <w:r w:rsidR="00E1597E">
              <w:rPr>
                <w:rFonts w:cs="Calibri"/>
                <w:i/>
                <w:sz w:val="22"/>
                <w:szCs w:val="22"/>
              </w:rPr>
              <w:t>k evropské měně</w:t>
            </w:r>
            <w:r w:rsidRPr="00B63904">
              <w:rPr>
                <w:rFonts w:cs="Calibri"/>
                <w:i/>
                <w:sz w:val="22"/>
                <w:szCs w:val="22"/>
              </w:rPr>
              <w:t xml:space="preserve"> a zvýšenou volatilitou cenové hladiny řady průmyslových výrobků </w:t>
            </w:r>
            <w:r w:rsidR="00EC28F1">
              <w:rPr>
                <w:rFonts w:cs="Calibri"/>
                <w:i/>
                <w:sz w:val="22"/>
                <w:szCs w:val="22"/>
              </w:rPr>
              <w:t>ve vztahu k termínu plnění</w:t>
            </w:r>
            <w:r w:rsidRPr="00B63904">
              <w:rPr>
                <w:rFonts w:cs="Calibri"/>
                <w:i/>
                <w:sz w:val="22"/>
                <w:szCs w:val="22"/>
              </w:rPr>
              <w:t xml:space="preserve">. </w:t>
            </w:r>
          </w:p>
          <w:p w:rsidR="00B63904" w:rsidRPr="00B63904" w:rsidRDefault="00B63904" w:rsidP="00E1597E">
            <w:pPr>
              <w:ind w:left="33"/>
              <w:jc w:val="both"/>
              <w:rPr>
                <w:i/>
                <w:sz w:val="22"/>
                <w:szCs w:val="22"/>
              </w:rPr>
            </w:pPr>
            <w:r w:rsidRPr="00B63904">
              <w:rPr>
                <w:rFonts w:cs="Calibri"/>
                <w:i/>
                <w:sz w:val="22"/>
                <w:szCs w:val="22"/>
              </w:rPr>
              <w:t xml:space="preserve">Vzhledem k tomu, že předpokládanou celkovou hodnotu veřejné zakázky </w:t>
            </w:r>
            <w:r w:rsidRPr="00B63904">
              <w:rPr>
                <w:i/>
                <w:sz w:val="22"/>
                <w:szCs w:val="22"/>
              </w:rPr>
              <w:t xml:space="preserve">činí součet předpokládaných hodnot jednotlivých součástí plnění veřejné zakázky (různé druhy vozidel, různé druhy nástaveb, bude definitivní hodnota veřejné zakázky stanovena v souladu s ust. § 13 </w:t>
            </w:r>
            <w:r w:rsidR="00E1597E">
              <w:rPr>
                <w:i/>
                <w:sz w:val="22"/>
                <w:szCs w:val="22"/>
              </w:rPr>
              <w:t>zákona</w:t>
            </w:r>
            <w:r w:rsidRPr="00B63904">
              <w:rPr>
                <w:i/>
                <w:sz w:val="22"/>
                <w:szCs w:val="22"/>
              </w:rPr>
              <w:t xml:space="preserve"> až ke dni zahájení zadávacího řízení. </w:t>
            </w:r>
          </w:p>
        </w:tc>
      </w:tr>
    </w:tbl>
    <w:p w:rsidR="0056222D" w:rsidRDefault="0056222D"/>
    <w:p w:rsidR="0069426B" w:rsidRDefault="0069426B"/>
    <w:p w:rsidR="0069426B" w:rsidRDefault="0069426B"/>
    <w:p w:rsidR="0069426B" w:rsidRDefault="0069426B"/>
    <w:p w:rsidR="0069426B" w:rsidRDefault="0069426B"/>
    <w:p w:rsidR="0069426B" w:rsidRDefault="0069426B" w:rsidP="003A508E">
      <w:pPr>
        <w:jc w:val="both"/>
      </w:pPr>
      <w:r>
        <w:t>Toto odůvodnění veřejné zakázky bylo v souladu s ustanovením § 156 odst. 4 zákona č. 137/2006 Sb., o veřejných zakázkách</w:t>
      </w:r>
      <w:r w:rsidR="00C86DB0">
        <w:t>, v platném znění</w:t>
      </w:r>
      <w:r>
        <w:t>, pře</w:t>
      </w:r>
      <w:r w:rsidR="006406D5">
        <w:t>d</w:t>
      </w:r>
      <w:r>
        <w:t>loženo ke schválení Zastupitelstvu Kraje Vysočina. Zastupitelstvo Kraje Vysočina schválilo odůvodnění účelnosti na své</w:t>
      </w:r>
      <w:r w:rsidR="006406D5">
        <w:t>m</w:t>
      </w:r>
      <w:r>
        <w:t xml:space="preserve"> jednání</w:t>
      </w:r>
      <w:r w:rsidR="003A508E">
        <w:t xml:space="preserve"> </w:t>
      </w:r>
      <w:r>
        <w:t>dne</w:t>
      </w:r>
      <w:r w:rsidR="003A508E">
        <w:t xml:space="preserve"> </w:t>
      </w:r>
      <w:r w:rsidR="00D67FC7">
        <w:t xml:space="preserve">…………. </w:t>
      </w:r>
      <w:r>
        <w:t xml:space="preserve">usnesením č. </w:t>
      </w:r>
      <w:r w:rsidR="00D67FC7">
        <w:t>……………………….</w:t>
      </w:r>
      <w:r w:rsidR="003A508E">
        <w:t>.</w:t>
      </w:r>
    </w:p>
    <w:sectPr w:rsidR="0069426B" w:rsidSect="000B4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B2" w:rsidRDefault="008C27B2" w:rsidP="00DB01E7">
      <w:r>
        <w:separator/>
      </w:r>
    </w:p>
  </w:endnote>
  <w:endnote w:type="continuationSeparator" w:id="0">
    <w:p w:rsidR="008C27B2" w:rsidRDefault="008C27B2" w:rsidP="00DB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1" w:rsidRDefault="009254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31" w:rsidRDefault="004B1731" w:rsidP="000B4519">
    <w:pPr>
      <w:pStyle w:val="Zpat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461">
      <w:rPr>
        <w:noProof/>
      </w:rPr>
      <w:t>9</w:t>
    </w:r>
    <w:r>
      <w:fldChar w:fldCharType="end"/>
    </w:r>
  </w:p>
  <w:p w:rsidR="004B1731" w:rsidRDefault="004B17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31" w:rsidRDefault="004B1731">
    <w:pPr>
      <w:pStyle w:val="Zpat"/>
      <w:jc w:val="center"/>
    </w:pPr>
  </w:p>
  <w:p w:rsidR="004B1731" w:rsidRDefault="004B1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B2" w:rsidRDefault="008C27B2" w:rsidP="00DB01E7">
      <w:r>
        <w:separator/>
      </w:r>
    </w:p>
  </w:footnote>
  <w:footnote w:type="continuationSeparator" w:id="0">
    <w:p w:rsidR="008C27B2" w:rsidRDefault="008C27B2" w:rsidP="00DB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1" w:rsidRDefault="009254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31" w:rsidRPr="000B4519" w:rsidRDefault="004B1731" w:rsidP="000B4519">
    <w:pPr>
      <w:pStyle w:val="Zhlav"/>
      <w:pBdr>
        <w:bottom w:val="single" w:sz="4" w:space="1" w:color="auto"/>
      </w:pBdr>
      <w:rPr>
        <w:sz w:val="16"/>
        <w:szCs w:val="16"/>
      </w:rPr>
    </w:pPr>
    <w:r w:rsidRPr="000B4519">
      <w:rPr>
        <w:sz w:val="16"/>
        <w:szCs w:val="16"/>
      </w:rPr>
      <w:t>Odůvodnění významné veřejné zakázky</w:t>
    </w:r>
  </w:p>
  <w:p w:rsidR="004B1731" w:rsidRDefault="004B17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FA" w:rsidRDefault="005336FA" w:rsidP="005336FA">
    <w:pPr>
      <w:pStyle w:val="Zhlav"/>
      <w:tabs>
        <w:tab w:val="left" w:pos="6804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A4E41">
      <w:rPr>
        <w:rFonts w:ascii="Arial" w:hAnsi="Arial" w:cs="Arial"/>
        <w:sz w:val="22"/>
        <w:szCs w:val="22"/>
      </w:rPr>
      <w:t>RK-20-2016-</w:t>
    </w:r>
    <w:r w:rsidR="00925461">
      <w:rPr>
        <w:rFonts w:ascii="Arial" w:hAnsi="Arial" w:cs="Arial"/>
        <w:sz w:val="22"/>
        <w:szCs w:val="22"/>
      </w:rPr>
      <w:t>40</w:t>
    </w:r>
    <w:bookmarkStart w:id="0" w:name="_GoBack"/>
    <w:bookmarkEnd w:id="0"/>
    <w:r w:rsidR="00AA4E41">
      <w:rPr>
        <w:rFonts w:ascii="Arial" w:hAnsi="Arial" w:cs="Arial"/>
        <w:sz w:val="22"/>
        <w:szCs w:val="22"/>
      </w:rPr>
      <w:t>, př. 1</w:t>
    </w:r>
    <w:r>
      <w:rPr>
        <w:rFonts w:ascii="Arial" w:hAnsi="Arial" w:cs="Arial"/>
        <w:sz w:val="22"/>
        <w:szCs w:val="22"/>
      </w:rPr>
      <w:tab/>
    </w:r>
  </w:p>
  <w:p w:rsidR="005336FA" w:rsidRPr="00AA4E41" w:rsidRDefault="005336FA" w:rsidP="005336FA">
    <w:pPr>
      <w:pStyle w:val="Zhlav"/>
      <w:tabs>
        <w:tab w:val="left" w:pos="6804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počet stran: 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9B6"/>
    <w:multiLevelType w:val="hybridMultilevel"/>
    <w:tmpl w:val="C30A0738"/>
    <w:lvl w:ilvl="0" w:tplc="EE14324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E9D764E"/>
    <w:multiLevelType w:val="hybridMultilevel"/>
    <w:tmpl w:val="87BE2876"/>
    <w:lvl w:ilvl="0" w:tplc="480C6F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7EE724A"/>
    <w:multiLevelType w:val="hybridMultilevel"/>
    <w:tmpl w:val="A6907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F"/>
    <w:rsid w:val="00005A77"/>
    <w:rsid w:val="00012C75"/>
    <w:rsid w:val="00064ACF"/>
    <w:rsid w:val="000A366D"/>
    <w:rsid w:val="000B4519"/>
    <w:rsid w:val="000B4B86"/>
    <w:rsid w:val="000D1D9A"/>
    <w:rsid w:val="000D1E0E"/>
    <w:rsid w:val="0011115F"/>
    <w:rsid w:val="00122FD3"/>
    <w:rsid w:val="00132419"/>
    <w:rsid w:val="001352AA"/>
    <w:rsid w:val="0014156F"/>
    <w:rsid w:val="0014281E"/>
    <w:rsid w:val="0016002C"/>
    <w:rsid w:val="001638E6"/>
    <w:rsid w:val="00183E83"/>
    <w:rsid w:val="00225FE9"/>
    <w:rsid w:val="002560B0"/>
    <w:rsid w:val="00267575"/>
    <w:rsid w:val="00273BF3"/>
    <w:rsid w:val="00295D0E"/>
    <w:rsid w:val="002A7A23"/>
    <w:rsid w:val="002E2320"/>
    <w:rsid w:val="002F1D1E"/>
    <w:rsid w:val="00327339"/>
    <w:rsid w:val="00332F71"/>
    <w:rsid w:val="00360073"/>
    <w:rsid w:val="00366321"/>
    <w:rsid w:val="0037342B"/>
    <w:rsid w:val="00377A97"/>
    <w:rsid w:val="00383BEB"/>
    <w:rsid w:val="003842C0"/>
    <w:rsid w:val="003A508E"/>
    <w:rsid w:val="003B4044"/>
    <w:rsid w:val="003B6A30"/>
    <w:rsid w:val="003D6D5B"/>
    <w:rsid w:val="003F2898"/>
    <w:rsid w:val="004114E5"/>
    <w:rsid w:val="00412ED4"/>
    <w:rsid w:val="00415026"/>
    <w:rsid w:val="00425909"/>
    <w:rsid w:val="00425D44"/>
    <w:rsid w:val="004361C4"/>
    <w:rsid w:val="00474F97"/>
    <w:rsid w:val="00475276"/>
    <w:rsid w:val="0049033A"/>
    <w:rsid w:val="004936ED"/>
    <w:rsid w:val="004A75D1"/>
    <w:rsid w:val="004B1731"/>
    <w:rsid w:val="004B3CC4"/>
    <w:rsid w:val="004B6D2E"/>
    <w:rsid w:val="004D1BC1"/>
    <w:rsid w:val="004F7999"/>
    <w:rsid w:val="005336FA"/>
    <w:rsid w:val="0053776E"/>
    <w:rsid w:val="0056222D"/>
    <w:rsid w:val="00565CF5"/>
    <w:rsid w:val="00587BC4"/>
    <w:rsid w:val="00594D8F"/>
    <w:rsid w:val="005B368C"/>
    <w:rsid w:val="005C7263"/>
    <w:rsid w:val="00634CD7"/>
    <w:rsid w:val="006406D5"/>
    <w:rsid w:val="00643057"/>
    <w:rsid w:val="00656FEB"/>
    <w:rsid w:val="00662A65"/>
    <w:rsid w:val="00674C3A"/>
    <w:rsid w:val="00677C6F"/>
    <w:rsid w:val="006855C0"/>
    <w:rsid w:val="0069426B"/>
    <w:rsid w:val="00695A7F"/>
    <w:rsid w:val="006A0DE7"/>
    <w:rsid w:val="006C6A59"/>
    <w:rsid w:val="00722DE8"/>
    <w:rsid w:val="00723D24"/>
    <w:rsid w:val="00736C91"/>
    <w:rsid w:val="00754144"/>
    <w:rsid w:val="00760702"/>
    <w:rsid w:val="007642C1"/>
    <w:rsid w:val="00766821"/>
    <w:rsid w:val="007715AB"/>
    <w:rsid w:val="007C086D"/>
    <w:rsid w:val="007D64FF"/>
    <w:rsid w:val="0081323A"/>
    <w:rsid w:val="00815907"/>
    <w:rsid w:val="00832A29"/>
    <w:rsid w:val="00845A2E"/>
    <w:rsid w:val="00864526"/>
    <w:rsid w:val="00873774"/>
    <w:rsid w:val="008B7084"/>
    <w:rsid w:val="008C27B2"/>
    <w:rsid w:val="008C3390"/>
    <w:rsid w:val="00900984"/>
    <w:rsid w:val="00925461"/>
    <w:rsid w:val="0095093E"/>
    <w:rsid w:val="009571C8"/>
    <w:rsid w:val="00985CDF"/>
    <w:rsid w:val="009A0069"/>
    <w:rsid w:val="009B75C3"/>
    <w:rsid w:val="009E7CAA"/>
    <w:rsid w:val="00A230A5"/>
    <w:rsid w:val="00A253E3"/>
    <w:rsid w:val="00A4604D"/>
    <w:rsid w:val="00A56BD1"/>
    <w:rsid w:val="00A8199F"/>
    <w:rsid w:val="00A92A5F"/>
    <w:rsid w:val="00A92B39"/>
    <w:rsid w:val="00AA4E41"/>
    <w:rsid w:val="00AB1412"/>
    <w:rsid w:val="00AE5C79"/>
    <w:rsid w:val="00AF0F45"/>
    <w:rsid w:val="00AF3B86"/>
    <w:rsid w:val="00B22AE3"/>
    <w:rsid w:val="00B50177"/>
    <w:rsid w:val="00B63904"/>
    <w:rsid w:val="00B71178"/>
    <w:rsid w:val="00B81467"/>
    <w:rsid w:val="00BA0923"/>
    <w:rsid w:val="00BB1348"/>
    <w:rsid w:val="00BC64B7"/>
    <w:rsid w:val="00BE27D5"/>
    <w:rsid w:val="00BE5CC7"/>
    <w:rsid w:val="00C027CE"/>
    <w:rsid w:val="00C159A3"/>
    <w:rsid w:val="00C46F51"/>
    <w:rsid w:val="00C472DD"/>
    <w:rsid w:val="00C75C99"/>
    <w:rsid w:val="00C8197F"/>
    <w:rsid w:val="00C8557B"/>
    <w:rsid w:val="00C86DB0"/>
    <w:rsid w:val="00D20212"/>
    <w:rsid w:val="00D328AF"/>
    <w:rsid w:val="00D41427"/>
    <w:rsid w:val="00D568BD"/>
    <w:rsid w:val="00D67D2D"/>
    <w:rsid w:val="00D67FC7"/>
    <w:rsid w:val="00D87424"/>
    <w:rsid w:val="00DA6975"/>
    <w:rsid w:val="00DB01E7"/>
    <w:rsid w:val="00DB363E"/>
    <w:rsid w:val="00E1597E"/>
    <w:rsid w:val="00E16F92"/>
    <w:rsid w:val="00E27302"/>
    <w:rsid w:val="00E460C9"/>
    <w:rsid w:val="00E5352C"/>
    <w:rsid w:val="00E825E8"/>
    <w:rsid w:val="00EA1586"/>
    <w:rsid w:val="00EB5570"/>
    <w:rsid w:val="00EC28F1"/>
    <w:rsid w:val="00EE0779"/>
    <w:rsid w:val="00F27E96"/>
    <w:rsid w:val="00F4353F"/>
    <w:rsid w:val="00FC650C"/>
    <w:rsid w:val="00FD0832"/>
    <w:rsid w:val="00FD1402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3B8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34CD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34CD7"/>
    <w:rPr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56B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B0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01E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B01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01E7"/>
    <w:rPr>
      <w:sz w:val="24"/>
      <w:szCs w:val="24"/>
    </w:rPr>
  </w:style>
  <w:style w:type="paragraph" w:styleId="Textbubliny">
    <w:name w:val="Balloon Text"/>
    <w:basedOn w:val="Normln"/>
    <w:link w:val="TextbublinyChar"/>
    <w:rsid w:val="00DB0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1E7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332F71"/>
  </w:style>
  <w:style w:type="character" w:styleId="Siln">
    <w:name w:val="Strong"/>
    <w:uiPriority w:val="99"/>
    <w:qFormat/>
    <w:rsid w:val="00B6390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3B8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34CD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34CD7"/>
    <w:rPr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56B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B0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01E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B01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01E7"/>
    <w:rPr>
      <w:sz w:val="24"/>
      <w:szCs w:val="24"/>
    </w:rPr>
  </w:style>
  <w:style w:type="paragraph" w:styleId="Textbubliny">
    <w:name w:val="Balloon Text"/>
    <w:basedOn w:val="Normln"/>
    <w:link w:val="TextbublinyChar"/>
    <w:rsid w:val="00DB0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1E7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332F71"/>
  </w:style>
  <w:style w:type="character" w:styleId="Siln">
    <w:name w:val="Strong"/>
    <w:uiPriority w:val="99"/>
    <w:qFormat/>
    <w:rsid w:val="00B639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0B3F-601F-40D8-ABA5-C9FC250E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2018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Odůvodnění účelnosti veřejné zakázky podle § 2 vyhlášky</vt:lpstr>
    </vt:vector>
  </TitlesOfParts>
  <Company>KSÚSV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Odůvodnění účelnosti veřejné zakázky podle § 2 vyhlášky</dc:title>
  <dc:creator>maresova</dc:creator>
  <cp:lastModifiedBy>Pospíchalová Petra</cp:lastModifiedBy>
  <cp:revision>4</cp:revision>
  <cp:lastPrinted>2016-05-26T07:42:00Z</cp:lastPrinted>
  <dcterms:created xsi:type="dcterms:W3CDTF">2016-05-30T12:51:00Z</dcterms:created>
  <dcterms:modified xsi:type="dcterms:W3CDTF">2016-06-02T09:40:00Z</dcterms:modified>
</cp:coreProperties>
</file>