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93B" w:rsidRDefault="009F522F">
      <w:pPr>
        <w:jc w:val="center"/>
        <w:rPr>
          <w:sz w:val="22"/>
          <w:szCs w:val="22"/>
        </w:rPr>
      </w:pPr>
      <w:r w:rsidRPr="009F522F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5A6692" wp14:editId="3D1D9BD9">
                <wp:simplePos x="0" y="0"/>
                <wp:positionH relativeFrom="column">
                  <wp:posOffset>4244340</wp:posOffset>
                </wp:positionH>
                <wp:positionV relativeFrom="paragraph">
                  <wp:posOffset>-1150620</wp:posOffset>
                </wp:positionV>
                <wp:extent cx="1685925" cy="523875"/>
                <wp:effectExtent l="0" t="0" r="9525" b="952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22F" w:rsidRPr="00F95CC6" w:rsidRDefault="009F522F" w:rsidP="009F522F">
                            <w:pPr>
                              <w:autoSpaceDE/>
                              <w:autoSpaceDN/>
                              <w:adjustRightInd/>
                              <w:spacing w:before="6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r w:rsidRPr="00F95CC6">
                              <w:rPr>
                                <w:b/>
                                <w:sz w:val="22"/>
                                <w:szCs w:val="22"/>
                              </w:rPr>
                              <w:t>RK-21-2014-</w:t>
                            </w:r>
                            <w:r w:rsidR="00F95CC6" w:rsidRPr="00F95CC6">
                              <w:rPr>
                                <w:b/>
                                <w:sz w:val="22"/>
                                <w:szCs w:val="22"/>
                              </w:rPr>
                              <w:t>33</w:t>
                            </w:r>
                            <w:r w:rsidRPr="00F95CC6">
                              <w:rPr>
                                <w:b/>
                                <w:sz w:val="22"/>
                                <w:szCs w:val="22"/>
                              </w:rPr>
                              <w:t>, př. 1</w:t>
                            </w:r>
                          </w:p>
                          <w:p w:rsidR="009F522F" w:rsidRPr="00F95CC6" w:rsidRDefault="00492E77" w:rsidP="009F522F">
                            <w:pPr>
                              <w:autoSpaceDE/>
                              <w:autoSpaceDN/>
                              <w:adjustRightInd/>
                              <w:spacing w:before="6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F95CC6">
                              <w:rPr>
                                <w:b/>
                                <w:sz w:val="22"/>
                                <w:szCs w:val="22"/>
                              </w:rPr>
                              <w:t>Počet stran: 3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34.2pt;margin-top:-90.6pt;width:132.7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" stroked="f">
                <v:textbox>
                  <w:txbxContent>
                    <w:p w:rsidR="009F522F" w:rsidRPr="00F95CC6" w:rsidRDefault="009F522F" w:rsidP="009F522F">
                      <w:pPr>
                        <w:autoSpaceDE/>
                        <w:autoSpaceDN/>
                        <w:adjustRightInd/>
                        <w:spacing w:before="60"/>
                        <w:rPr>
                          <w:b/>
                          <w:sz w:val="22"/>
                          <w:szCs w:val="22"/>
                        </w:rPr>
                      </w:pPr>
                      <w:bookmarkStart w:id="1" w:name="_GoBack"/>
                      <w:r w:rsidRPr="00F95CC6">
                        <w:rPr>
                          <w:b/>
                          <w:sz w:val="22"/>
                          <w:szCs w:val="22"/>
                        </w:rPr>
                        <w:t>RK-21-2014-</w:t>
                      </w:r>
                      <w:r w:rsidR="00F95CC6" w:rsidRPr="00F95CC6">
                        <w:rPr>
                          <w:b/>
                          <w:sz w:val="22"/>
                          <w:szCs w:val="22"/>
                        </w:rPr>
                        <w:t>33</w:t>
                      </w:r>
                      <w:r w:rsidRPr="00F95CC6">
                        <w:rPr>
                          <w:b/>
                          <w:sz w:val="22"/>
                          <w:szCs w:val="22"/>
                        </w:rPr>
                        <w:t>, př. 1</w:t>
                      </w:r>
                    </w:p>
                    <w:p w:rsidR="009F522F" w:rsidRPr="00F95CC6" w:rsidRDefault="00492E77" w:rsidP="009F522F">
                      <w:pPr>
                        <w:autoSpaceDE/>
                        <w:autoSpaceDN/>
                        <w:adjustRightInd/>
                        <w:spacing w:before="60"/>
                        <w:rPr>
                          <w:b/>
                          <w:sz w:val="22"/>
                          <w:szCs w:val="22"/>
                        </w:rPr>
                      </w:pPr>
                      <w:r w:rsidRPr="00F95CC6">
                        <w:rPr>
                          <w:b/>
                          <w:sz w:val="22"/>
                          <w:szCs w:val="22"/>
                        </w:rPr>
                        <w:t>Počet stran: 3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21093B" w:rsidRDefault="0021093B">
      <w:pPr>
        <w:jc w:val="center"/>
        <w:rPr>
          <w:sz w:val="22"/>
          <w:szCs w:val="22"/>
        </w:rPr>
      </w:pPr>
    </w:p>
    <w:tbl>
      <w:tblPr>
        <w:tblW w:w="976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607"/>
        <w:gridCol w:w="5159"/>
      </w:tblGrid>
      <w:tr w:rsidR="0021093B">
        <w:tc>
          <w:tcPr>
            <w:tcW w:w="9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093B" w:rsidRDefault="002109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Nadace Komerční banky, a.s. – Jistota</w:t>
            </w:r>
          </w:p>
        </w:tc>
      </w:tr>
      <w:tr w:rsidR="0021093B"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</w:tcPr>
          <w:p w:rsidR="0021093B" w:rsidRDefault="002109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 sídlem: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21093B" w:rsidRDefault="00DA1C0E" w:rsidP="00DA1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Praha 1, </w:t>
            </w:r>
            <w:r w:rsidR="0021093B">
              <w:rPr>
                <w:sz w:val="18"/>
                <w:szCs w:val="18"/>
              </w:rPr>
              <w:t>Na Příkopě 33, PSČ: 114 07</w:t>
            </w:r>
          </w:p>
        </w:tc>
      </w:tr>
      <w:tr w:rsidR="0021093B"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</w:tcPr>
          <w:p w:rsidR="0021093B" w:rsidRDefault="00166B03" w:rsidP="00166B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IČO</w:t>
            </w:r>
            <w:r w:rsidR="0021093B">
              <w:rPr>
                <w:sz w:val="18"/>
                <w:szCs w:val="18"/>
              </w:rPr>
              <w:t>: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21093B" w:rsidRDefault="002109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60458933</w:t>
            </w:r>
          </w:p>
        </w:tc>
      </w:tr>
      <w:tr w:rsidR="0021093B"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</w:tcPr>
          <w:p w:rsidR="0021093B" w:rsidRDefault="002109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zapsaná v nadačním rejstříku:</w:t>
            </w:r>
          </w:p>
          <w:p w:rsidR="0021093B" w:rsidRDefault="002109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zastoupená:</w:t>
            </w:r>
          </w:p>
          <w:p w:rsidR="0021093B" w:rsidRDefault="0021093B">
            <w:pPr>
              <w:rPr>
                <w:sz w:val="18"/>
                <w:szCs w:val="18"/>
              </w:rPr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21093B" w:rsidRDefault="0021093B" w:rsidP="009F522F">
            <w:pPr>
              <w:tabs>
                <w:tab w:val="left" w:pos="4633"/>
              </w:tabs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vedeném</w:t>
            </w:r>
            <w:proofErr w:type="gramEnd"/>
            <w:r>
              <w:rPr>
                <w:sz w:val="18"/>
                <w:szCs w:val="18"/>
              </w:rPr>
              <w:t xml:space="preserve"> Městským soudem v Praze, v oddíle N, vložce 39</w:t>
            </w:r>
          </w:p>
          <w:p w:rsidR="0021093B" w:rsidRDefault="002109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Ing. </w:t>
            </w:r>
            <w:r w:rsidR="00220EA0">
              <w:rPr>
                <w:sz w:val="18"/>
                <w:szCs w:val="18"/>
              </w:rPr>
              <w:t xml:space="preserve">Sylvou </w:t>
            </w:r>
            <w:proofErr w:type="spellStart"/>
            <w:r w:rsidR="00220EA0">
              <w:rPr>
                <w:sz w:val="18"/>
                <w:szCs w:val="18"/>
              </w:rPr>
              <w:t>Floríkovou</w:t>
            </w:r>
            <w:proofErr w:type="spellEnd"/>
            <w:r>
              <w:rPr>
                <w:sz w:val="18"/>
                <w:szCs w:val="18"/>
              </w:rPr>
              <w:t>, předs</w:t>
            </w:r>
            <w:r w:rsidR="00220EA0">
              <w:rPr>
                <w:sz w:val="18"/>
                <w:szCs w:val="18"/>
              </w:rPr>
              <w:t>edkyní</w:t>
            </w:r>
            <w:r>
              <w:rPr>
                <w:sz w:val="18"/>
                <w:szCs w:val="18"/>
              </w:rPr>
              <w:t xml:space="preserve"> správní rady,</w:t>
            </w:r>
          </w:p>
          <w:p w:rsidR="0021093B" w:rsidRDefault="002109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  <w:r w:rsidR="009E3771">
              <w:rPr>
                <w:sz w:val="18"/>
                <w:szCs w:val="18"/>
              </w:rPr>
              <w:t xml:space="preserve">Ing. </w:t>
            </w:r>
            <w:r w:rsidR="00831E48">
              <w:rPr>
                <w:sz w:val="18"/>
                <w:szCs w:val="18"/>
              </w:rPr>
              <w:t xml:space="preserve">Jiřím </w:t>
            </w:r>
            <w:proofErr w:type="spellStart"/>
            <w:r w:rsidR="00831E48">
              <w:rPr>
                <w:sz w:val="18"/>
                <w:szCs w:val="18"/>
              </w:rPr>
              <w:t>Mifkem</w:t>
            </w:r>
            <w:proofErr w:type="spellEnd"/>
            <w:r w:rsidR="00831E48">
              <w:rPr>
                <w:sz w:val="18"/>
                <w:szCs w:val="18"/>
              </w:rPr>
              <w:t xml:space="preserve">, </w:t>
            </w:r>
            <w:r w:rsidR="003B5198">
              <w:rPr>
                <w:sz w:val="18"/>
                <w:szCs w:val="18"/>
              </w:rPr>
              <w:t>čle</w:t>
            </w:r>
            <w:r w:rsidR="00D8009D">
              <w:rPr>
                <w:sz w:val="18"/>
                <w:szCs w:val="18"/>
              </w:rPr>
              <w:t>nem</w:t>
            </w:r>
            <w:r w:rsidR="003B5198">
              <w:rPr>
                <w:sz w:val="18"/>
                <w:szCs w:val="18"/>
              </w:rPr>
              <w:t xml:space="preserve"> správní rady</w:t>
            </w:r>
          </w:p>
        </w:tc>
      </w:tr>
      <w:tr w:rsidR="0021093B">
        <w:tc>
          <w:tcPr>
            <w:tcW w:w="9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093B" w:rsidRDefault="002109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(dále jen „</w:t>
            </w:r>
            <w:r w:rsidRPr="00634D1E">
              <w:rPr>
                <w:b/>
                <w:sz w:val="18"/>
                <w:szCs w:val="18"/>
              </w:rPr>
              <w:t>Dárce</w:t>
            </w:r>
            <w:r>
              <w:rPr>
                <w:sz w:val="18"/>
                <w:szCs w:val="18"/>
              </w:rPr>
              <w:t>“)</w:t>
            </w:r>
          </w:p>
        </w:tc>
      </w:tr>
    </w:tbl>
    <w:p w:rsidR="0021093B" w:rsidRDefault="0021093B">
      <w:pPr>
        <w:rPr>
          <w:sz w:val="18"/>
          <w:szCs w:val="18"/>
        </w:rPr>
      </w:pPr>
    </w:p>
    <w:tbl>
      <w:tblPr>
        <w:tblW w:w="93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856"/>
      </w:tblGrid>
      <w:tr w:rsidR="00266D6C" w:rsidTr="00B6774E">
        <w:trPr>
          <w:tblCellSpacing w:w="15" w:type="dxa"/>
        </w:trPr>
        <w:tc>
          <w:tcPr>
            <w:tcW w:w="9240" w:type="dxa"/>
            <w:vAlign w:val="center"/>
          </w:tcPr>
          <w:p w:rsidR="00266D6C" w:rsidRDefault="00A33AAD" w:rsidP="00266D6C">
            <w:pPr>
              <w:spacing w:line="28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  <w:p w:rsidR="00A33AAD" w:rsidRDefault="00A33AAD" w:rsidP="00266D6C">
            <w:pPr>
              <w:spacing w:line="288" w:lineRule="auto"/>
              <w:rPr>
                <w:sz w:val="18"/>
                <w:szCs w:val="18"/>
              </w:rPr>
            </w:pPr>
          </w:p>
          <w:p w:rsidR="00A33AAD" w:rsidRPr="00266D6C" w:rsidRDefault="00A33AAD" w:rsidP="00A33AAD">
            <w:pPr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Nemocnice Pelhřimov, </w:t>
            </w:r>
            <w:proofErr w:type="spellStart"/>
            <w:proofErr w:type="gramStart"/>
            <w:r>
              <w:rPr>
                <w:b/>
                <w:iCs/>
                <w:sz w:val="18"/>
                <w:szCs w:val="18"/>
              </w:rPr>
              <w:t>p.o</w:t>
            </w:r>
            <w:proofErr w:type="spellEnd"/>
            <w:r>
              <w:rPr>
                <w:b/>
                <w:iCs/>
                <w:sz w:val="18"/>
                <w:szCs w:val="18"/>
              </w:rPr>
              <w:t>.</w:t>
            </w:r>
            <w:proofErr w:type="gramEnd"/>
          </w:p>
          <w:tbl>
            <w:tblPr>
              <w:tblW w:w="9766" w:type="dxa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4606"/>
              <w:gridCol w:w="5160"/>
            </w:tblGrid>
            <w:tr w:rsidR="00A33AAD" w:rsidTr="00B938F4">
              <w:tc>
                <w:tcPr>
                  <w:tcW w:w="46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3AAD" w:rsidRDefault="00A33AAD" w:rsidP="00B938F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se sídlem: </w:t>
                  </w:r>
                </w:p>
              </w:tc>
              <w:tc>
                <w:tcPr>
                  <w:tcW w:w="5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3AAD" w:rsidRPr="005D5144" w:rsidRDefault="00A33AAD" w:rsidP="00B938F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Pelhřimov, Slovanského bratrství 710, PSČ 39338</w:t>
                  </w:r>
                </w:p>
              </w:tc>
            </w:tr>
            <w:tr w:rsidR="00A33AAD" w:rsidTr="00B938F4">
              <w:trPr>
                <w:trHeight w:val="210"/>
              </w:trPr>
              <w:tc>
                <w:tcPr>
                  <w:tcW w:w="46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3AAD" w:rsidRDefault="00A33AAD" w:rsidP="00B938F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DIČ: </w:t>
                  </w:r>
                </w:p>
                <w:p w:rsidR="00A33AAD" w:rsidRDefault="00A33AAD" w:rsidP="00B938F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zastoupená: </w:t>
                  </w:r>
                </w:p>
                <w:p w:rsidR="00A33AAD" w:rsidRPr="005F5FE5" w:rsidRDefault="00A33AAD" w:rsidP="00B938F4">
                  <w:pPr>
                    <w:rPr>
                      <w:sz w:val="18"/>
                      <w:szCs w:val="18"/>
                    </w:rPr>
                  </w:pPr>
                </w:p>
                <w:p w:rsidR="00A33AAD" w:rsidRPr="00831E48" w:rsidRDefault="00A33AAD" w:rsidP="00B938F4">
                  <w:pPr>
                    <w:rPr>
                      <w:sz w:val="18"/>
                      <w:szCs w:val="18"/>
                    </w:rPr>
                  </w:pPr>
                  <w:r w:rsidRPr="005F5FE5">
                    <w:rPr>
                      <w:sz w:val="18"/>
                      <w:szCs w:val="18"/>
                    </w:rPr>
                    <w:t>(dále jen "</w:t>
                  </w:r>
                  <w:r w:rsidRPr="00634D1E">
                    <w:rPr>
                      <w:b/>
                      <w:sz w:val="18"/>
                      <w:szCs w:val="18"/>
                    </w:rPr>
                    <w:t>Obdarovaný</w:t>
                  </w:r>
                  <w:r w:rsidRPr="00831E48">
                    <w:rPr>
                      <w:sz w:val="18"/>
                      <w:szCs w:val="18"/>
                    </w:rPr>
                    <w:t>")</w:t>
                  </w:r>
                </w:p>
                <w:p w:rsidR="00A33AAD" w:rsidRDefault="00A33AAD" w:rsidP="00B938F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3AAD" w:rsidRPr="005D5144" w:rsidRDefault="00A33AAD" w:rsidP="00B938F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CZ00511951</w:t>
                  </w:r>
                </w:p>
                <w:p w:rsidR="00A33AAD" w:rsidRPr="005D5144" w:rsidRDefault="00A33AAD" w:rsidP="00B938F4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Ing. Janem Mlčákem, MBA, ředitelem</w:t>
                  </w:r>
                </w:p>
                <w:p w:rsidR="00A33AAD" w:rsidRPr="005D5144" w:rsidRDefault="00A33AAD" w:rsidP="00B938F4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A33AAD" w:rsidRPr="006E3492" w:rsidRDefault="00A33AAD" w:rsidP="00266D6C">
            <w:pPr>
              <w:spacing w:line="288" w:lineRule="auto"/>
              <w:rPr>
                <w:rFonts w:eastAsia="Arial Unicode MS"/>
                <w:b/>
                <w:bCs/>
                <w:lang w:val="pt-BR"/>
              </w:rPr>
            </w:pPr>
          </w:p>
        </w:tc>
      </w:tr>
      <w:tr w:rsidR="00266D6C" w:rsidTr="00B6774E">
        <w:trPr>
          <w:tblCellSpacing w:w="15" w:type="dxa"/>
        </w:trPr>
        <w:tc>
          <w:tcPr>
            <w:tcW w:w="9240" w:type="dxa"/>
            <w:vAlign w:val="center"/>
          </w:tcPr>
          <w:tbl>
            <w:tblPr>
              <w:tblW w:w="9300" w:type="dxa"/>
              <w:tblCellSpacing w:w="15" w:type="dxa"/>
              <w:tblLook w:val="04A0" w:firstRow="1" w:lastRow="0" w:firstColumn="1" w:lastColumn="0" w:noHBand="0" w:noVBand="1"/>
            </w:tblPr>
            <w:tblGrid>
              <w:gridCol w:w="9300"/>
            </w:tblGrid>
            <w:tr w:rsidR="005A60D9" w:rsidTr="005A60D9">
              <w:trPr>
                <w:tblCellSpacing w:w="15" w:type="dxa"/>
              </w:trPr>
              <w:tc>
                <w:tcPr>
                  <w:tcW w:w="92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33AAD" w:rsidRDefault="00A33AAD" w:rsidP="00A33AAD">
                  <w:pPr>
                    <w:rPr>
                      <w:sz w:val="18"/>
                      <w:szCs w:val="18"/>
                    </w:rPr>
                  </w:pPr>
                </w:p>
                <w:p w:rsidR="00A33AAD" w:rsidRDefault="00A33AAD" w:rsidP="00A33AA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(shora uvedené smluvní strany jsou dále označovány též jako „</w:t>
                  </w:r>
                  <w:r w:rsidRPr="00634D1E">
                    <w:rPr>
                      <w:b/>
                      <w:sz w:val="18"/>
                      <w:szCs w:val="18"/>
                    </w:rPr>
                    <w:t>Smluvní strany</w:t>
                  </w:r>
                  <w:r>
                    <w:rPr>
                      <w:sz w:val="18"/>
                      <w:szCs w:val="18"/>
                    </w:rPr>
                    <w:t>“)</w:t>
                  </w:r>
                </w:p>
                <w:p w:rsidR="00A33AAD" w:rsidRDefault="00A33AAD" w:rsidP="00A33AAD">
                  <w:pPr>
                    <w:rPr>
                      <w:sz w:val="18"/>
                      <w:szCs w:val="18"/>
                    </w:rPr>
                  </w:pPr>
                </w:p>
                <w:p w:rsidR="00A33AAD" w:rsidRDefault="00A33AAD" w:rsidP="00A33AAD">
                  <w:pPr>
                    <w:jc w:val="both"/>
                    <w:rPr>
                      <w:sz w:val="18"/>
                      <w:szCs w:val="18"/>
                    </w:rPr>
                  </w:pPr>
                </w:p>
                <w:p w:rsidR="00A33AAD" w:rsidRDefault="00A33AAD" w:rsidP="00A33AAD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uzavírají v souladu s </w:t>
                  </w:r>
                  <w:proofErr w:type="spellStart"/>
                  <w:r>
                    <w:rPr>
                      <w:sz w:val="18"/>
                      <w:szCs w:val="18"/>
                    </w:rPr>
                    <w:t>ust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. </w:t>
                  </w:r>
                  <w:r w:rsidRPr="00E95494">
                    <w:rPr>
                      <w:sz w:val="18"/>
                      <w:szCs w:val="18"/>
                    </w:rPr>
                    <w:t xml:space="preserve">§ 1746 odst. 2 a </w:t>
                  </w:r>
                  <w:r>
                    <w:rPr>
                      <w:sz w:val="18"/>
                      <w:szCs w:val="18"/>
                    </w:rPr>
                    <w:t xml:space="preserve">§ 2055 a </w:t>
                  </w:r>
                  <w:proofErr w:type="gramStart"/>
                  <w:r>
                    <w:rPr>
                      <w:sz w:val="18"/>
                      <w:szCs w:val="18"/>
                    </w:rPr>
                    <w:t xml:space="preserve">násl. </w:t>
                  </w:r>
                  <w:proofErr w:type="spellStart"/>
                  <w:r>
                    <w:rPr>
                      <w:sz w:val="18"/>
                      <w:szCs w:val="18"/>
                    </w:rPr>
                    <w:t>z.č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89/2012 Sb., občanský zákoník, ve  znění pozdějších předpisů, tuto </w:t>
                  </w:r>
                </w:p>
                <w:p w:rsidR="00A33AAD" w:rsidRDefault="00A33AAD" w:rsidP="00A33AAD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A33AAD" w:rsidRDefault="00A33AAD" w:rsidP="00A33AAD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A33AAD" w:rsidRDefault="00A33AAD" w:rsidP="00A33AAD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5A60D9" w:rsidRDefault="00A33AAD" w:rsidP="006E3492">
                  <w:pPr>
                    <w:jc w:val="center"/>
                    <w:rPr>
                      <w:rFonts w:eastAsia="Arial Unicode MS"/>
                      <w:b/>
                      <w:bCs/>
                      <w:szCs w:val="24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darovací smlouvu </w:t>
                  </w:r>
                  <w:r>
                    <w:rPr>
                      <w:sz w:val="18"/>
                      <w:szCs w:val="18"/>
                    </w:rPr>
                    <w:t>(dále jen „</w:t>
                  </w:r>
                  <w:r>
                    <w:rPr>
                      <w:b/>
                      <w:sz w:val="18"/>
                      <w:szCs w:val="18"/>
                    </w:rPr>
                    <w:t>Smlouva</w:t>
                  </w:r>
                  <w:r>
                    <w:rPr>
                      <w:sz w:val="18"/>
                      <w:szCs w:val="18"/>
                    </w:rPr>
                    <w:t>“):</w:t>
                  </w:r>
                </w:p>
              </w:tc>
            </w:tr>
            <w:tr w:rsidR="005A60D9" w:rsidTr="005A60D9">
              <w:trPr>
                <w:tblCellSpacing w:w="15" w:type="dxa"/>
              </w:trPr>
              <w:tc>
                <w:tcPr>
                  <w:tcW w:w="92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A60D9" w:rsidRDefault="005A60D9">
                  <w:pPr>
                    <w:spacing w:line="288" w:lineRule="auto"/>
                    <w:rPr>
                      <w:rFonts w:eastAsia="Arial Unicode MS"/>
                      <w:szCs w:val="24"/>
                    </w:rPr>
                  </w:pPr>
                </w:p>
              </w:tc>
            </w:tr>
          </w:tbl>
          <w:p w:rsidR="005A60D9" w:rsidRDefault="005A60D9" w:rsidP="00266D6C">
            <w:pPr>
              <w:spacing w:line="288" w:lineRule="auto"/>
              <w:jc w:val="both"/>
              <w:rPr>
                <w:rFonts w:eastAsia="Arial Unicode MS"/>
              </w:rPr>
            </w:pPr>
          </w:p>
          <w:p w:rsidR="005A60D9" w:rsidRDefault="005A60D9" w:rsidP="00266D6C">
            <w:pPr>
              <w:spacing w:line="288" w:lineRule="auto"/>
              <w:jc w:val="both"/>
              <w:rPr>
                <w:rFonts w:eastAsia="Arial Unicode MS"/>
              </w:rPr>
            </w:pPr>
          </w:p>
          <w:p w:rsidR="005A60D9" w:rsidRDefault="005A60D9" w:rsidP="00266D6C">
            <w:pPr>
              <w:spacing w:line="288" w:lineRule="auto"/>
              <w:jc w:val="both"/>
              <w:rPr>
                <w:rFonts w:eastAsia="Arial Unicode MS"/>
              </w:rPr>
            </w:pPr>
          </w:p>
        </w:tc>
      </w:tr>
    </w:tbl>
    <w:p w:rsidR="0021093B" w:rsidRDefault="0021093B">
      <w:pPr>
        <w:rPr>
          <w:sz w:val="18"/>
          <w:szCs w:val="18"/>
          <w:lang w:val="pt-BR"/>
        </w:rPr>
      </w:pPr>
    </w:p>
    <w:p w:rsidR="0021093B" w:rsidRDefault="0021093B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Článek I. Předmět Smlouvy a doba plnění </w:t>
      </w:r>
    </w:p>
    <w:p w:rsidR="0021093B" w:rsidRDefault="0021093B">
      <w:pPr>
        <w:ind w:left="426" w:hanging="426"/>
        <w:jc w:val="both"/>
        <w:rPr>
          <w:bCs/>
          <w:sz w:val="18"/>
          <w:szCs w:val="18"/>
        </w:rPr>
      </w:pPr>
    </w:p>
    <w:p w:rsidR="005D5144" w:rsidRDefault="0021093B" w:rsidP="00DB51B5">
      <w:pPr>
        <w:ind w:left="426" w:hanging="426"/>
        <w:jc w:val="both"/>
        <w:rPr>
          <w:sz w:val="18"/>
          <w:szCs w:val="18"/>
        </w:rPr>
      </w:pPr>
      <w:proofErr w:type="gramStart"/>
      <w:r>
        <w:rPr>
          <w:bCs/>
          <w:sz w:val="18"/>
          <w:szCs w:val="18"/>
        </w:rPr>
        <w:t>I</w:t>
      </w:r>
      <w:r>
        <w:rPr>
          <w:sz w:val="18"/>
          <w:szCs w:val="18"/>
        </w:rPr>
        <w:t>.1</w:t>
      </w:r>
      <w:r w:rsidR="00DB51B5">
        <w:rPr>
          <w:sz w:val="18"/>
          <w:szCs w:val="18"/>
        </w:rPr>
        <w:t xml:space="preserve"> </w:t>
      </w:r>
      <w:r w:rsidR="00DB51B5">
        <w:rPr>
          <w:sz w:val="18"/>
          <w:szCs w:val="18"/>
        </w:rPr>
        <w:tab/>
      </w:r>
      <w:r>
        <w:rPr>
          <w:sz w:val="18"/>
          <w:szCs w:val="18"/>
        </w:rPr>
        <w:t>Dárce</w:t>
      </w:r>
      <w:proofErr w:type="gramEnd"/>
      <w:r>
        <w:rPr>
          <w:sz w:val="18"/>
          <w:szCs w:val="18"/>
        </w:rPr>
        <w:t xml:space="preserve"> se v souladu se svým programem podpory aktivit zdravotního a sociálního charakteru tímto zavazuje </w:t>
      </w:r>
      <w:r w:rsidR="00266D6C">
        <w:rPr>
          <w:sz w:val="18"/>
          <w:szCs w:val="18"/>
        </w:rPr>
        <w:t>poskytnout finanční podporu</w:t>
      </w:r>
      <w:r w:rsidR="00971FFB">
        <w:rPr>
          <w:sz w:val="18"/>
          <w:szCs w:val="18"/>
        </w:rPr>
        <w:t xml:space="preserve"> </w:t>
      </w:r>
      <w:r w:rsidR="00266D6C">
        <w:rPr>
          <w:sz w:val="18"/>
          <w:szCs w:val="18"/>
        </w:rPr>
        <w:t xml:space="preserve">Obdarovanému na </w:t>
      </w:r>
      <w:r w:rsidR="005D5144">
        <w:rPr>
          <w:sz w:val="18"/>
          <w:szCs w:val="18"/>
        </w:rPr>
        <w:t xml:space="preserve">servis/opravy </w:t>
      </w:r>
      <w:proofErr w:type="spellStart"/>
      <w:r w:rsidR="00C4334A">
        <w:rPr>
          <w:sz w:val="18"/>
          <w:szCs w:val="18"/>
        </w:rPr>
        <w:t>babyboxu</w:t>
      </w:r>
      <w:proofErr w:type="spellEnd"/>
      <w:r w:rsidR="00C4334A">
        <w:rPr>
          <w:sz w:val="18"/>
          <w:szCs w:val="18"/>
        </w:rPr>
        <w:t xml:space="preserve"> umístěného v areálu Obd</w:t>
      </w:r>
      <w:r w:rsidR="00CF6D98">
        <w:rPr>
          <w:sz w:val="18"/>
          <w:szCs w:val="18"/>
        </w:rPr>
        <w:t>a</w:t>
      </w:r>
      <w:r w:rsidR="00C4334A">
        <w:rPr>
          <w:sz w:val="18"/>
          <w:szCs w:val="18"/>
        </w:rPr>
        <w:t>rovaného</w:t>
      </w:r>
      <w:r w:rsidR="004E41C4">
        <w:rPr>
          <w:sz w:val="18"/>
          <w:szCs w:val="18"/>
        </w:rPr>
        <w:t xml:space="preserve"> (dále jen „</w:t>
      </w:r>
      <w:r w:rsidR="004E41C4" w:rsidRPr="004E41C4">
        <w:rPr>
          <w:b/>
          <w:sz w:val="18"/>
          <w:szCs w:val="18"/>
        </w:rPr>
        <w:t>Dar</w:t>
      </w:r>
      <w:r w:rsidR="004E41C4">
        <w:rPr>
          <w:sz w:val="18"/>
          <w:szCs w:val="18"/>
        </w:rPr>
        <w:t>“)</w:t>
      </w:r>
      <w:r w:rsidR="00CF6D98">
        <w:rPr>
          <w:sz w:val="18"/>
          <w:szCs w:val="18"/>
        </w:rPr>
        <w:t xml:space="preserve"> na adrese:</w:t>
      </w:r>
      <w:r w:rsidR="00C4334A">
        <w:rPr>
          <w:sz w:val="18"/>
          <w:szCs w:val="18"/>
        </w:rPr>
        <w:t xml:space="preserve"> </w:t>
      </w:r>
      <w:r w:rsidR="006E3492">
        <w:rPr>
          <w:sz w:val="18"/>
          <w:szCs w:val="18"/>
        </w:rPr>
        <w:t>Pelhřimov</w:t>
      </w:r>
      <w:r w:rsidR="00777CCC">
        <w:rPr>
          <w:sz w:val="18"/>
          <w:szCs w:val="18"/>
        </w:rPr>
        <w:t xml:space="preserve">, </w:t>
      </w:r>
      <w:r w:rsidR="006E3492">
        <w:rPr>
          <w:sz w:val="18"/>
          <w:szCs w:val="18"/>
        </w:rPr>
        <w:t>Slovanského bratrství</w:t>
      </w:r>
      <w:r w:rsidR="00777CCC">
        <w:rPr>
          <w:sz w:val="18"/>
          <w:szCs w:val="18"/>
        </w:rPr>
        <w:t xml:space="preserve">, PSČ </w:t>
      </w:r>
      <w:proofErr w:type="gramStart"/>
      <w:r w:rsidR="006E3492">
        <w:rPr>
          <w:sz w:val="18"/>
          <w:szCs w:val="18"/>
        </w:rPr>
        <w:t>393 01</w:t>
      </w:r>
      <w:r w:rsidR="00777CCC">
        <w:rPr>
          <w:sz w:val="18"/>
          <w:szCs w:val="18"/>
        </w:rPr>
        <w:t xml:space="preserve"> </w:t>
      </w:r>
      <w:r w:rsidR="009971A5">
        <w:rPr>
          <w:sz w:val="18"/>
          <w:szCs w:val="18"/>
        </w:rPr>
        <w:t>,</w:t>
      </w:r>
      <w:r w:rsidR="005D5144">
        <w:rPr>
          <w:sz w:val="18"/>
          <w:szCs w:val="18"/>
        </w:rPr>
        <w:t>pořízen</w:t>
      </w:r>
      <w:r w:rsidR="00C4334A">
        <w:rPr>
          <w:sz w:val="18"/>
          <w:szCs w:val="18"/>
        </w:rPr>
        <w:t>ého</w:t>
      </w:r>
      <w:proofErr w:type="gramEnd"/>
      <w:r w:rsidR="00C4334A">
        <w:rPr>
          <w:sz w:val="18"/>
          <w:szCs w:val="18"/>
        </w:rPr>
        <w:t xml:space="preserve"> </w:t>
      </w:r>
      <w:r w:rsidR="005D5144">
        <w:rPr>
          <w:sz w:val="18"/>
          <w:szCs w:val="18"/>
        </w:rPr>
        <w:t xml:space="preserve">z finančního daru </w:t>
      </w:r>
      <w:r w:rsidR="00CF6D98">
        <w:rPr>
          <w:sz w:val="18"/>
          <w:szCs w:val="18"/>
        </w:rPr>
        <w:t>Dárce</w:t>
      </w:r>
      <w:r w:rsidR="004E41C4">
        <w:rPr>
          <w:sz w:val="18"/>
          <w:szCs w:val="18"/>
        </w:rPr>
        <w:t xml:space="preserve"> (dále jen „</w:t>
      </w:r>
      <w:proofErr w:type="spellStart"/>
      <w:r w:rsidR="004E41C4" w:rsidRPr="004E41C4">
        <w:rPr>
          <w:b/>
          <w:sz w:val="18"/>
          <w:szCs w:val="18"/>
        </w:rPr>
        <w:t>Babybox</w:t>
      </w:r>
      <w:proofErr w:type="spellEnd"/>
      <w:r w:rsidR="004E41C4">
        <w:rPr>
          <w:sz w:val="18"/>
          <w:szCs w:val="18"/>
        </w:rPr>
        <w:t>“)</w:t>
      </w:r>
      <w:r w:rsidR="005D5144">
        <w:rPr>
          <w:sz w:val="18"/>
          <w:szCs w:val="18"/>
        </w:rPr>
        <w:t>.</w:t>
      </w:r>
    </w:p>
    <w:p w:rsidR="0059684E" w:rsidRDefault="0059684E" w:rsidP="00EF42AC">
      <w:pPr>
        <w:ind w:left="426" w:hanging="426"/>
        <w:jc w:val="both"/>
        <w:rPr>
          <w:sz w:val="18"/>
          <w:szCs w:val="18"/>
        </w:rPr>
      </w:pPr>
    </w:p>
    <w:p w:rsidR="005D5144" w:rsidRDefault="005D5144" w:rsidP="00DB51B5">
      <w:pPr>
        <w:spacing w:line="288" w:lineRule="auto"/>
        <w:ind w:left="426" w:hanging="426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I.2 </w:t>
      </w:r>
      <w:r w:rsidR="00DB51B5">
        <w:rPr>
          <w:sz w:val="18"/>
          <w:szCs w:val="18"/>
        </w:rPr>
        <w:tab/>
      </w:r>
      <w:r w:rsidR="004E41C4">
        <w:rPr>
          <w:sz w:val="18"/>
          <w:szCs w:val="18"/>
        </w:rPr>
        <w:t>Dar</w:t>
      </w:r>
      <w:proofErr w:type="gramEnd"/>
      <w:r w:rsidR="004E41C4">
        <w:rPr>
          <w:sz w:val="18"/>
          <w:szCs w:val="18"/>
        </w:rPr>
        <w:t xml:space="preserve"> </w:t>
      </w:r>
      <w:r w:rsidR="00C4334A" w:rsidRPr="00DB51B5">
        <w:rPr>
          <w:sz w:val="18"/>
          <w:szCs w:val="18"/>
        </w:rPr>
        <w:t xml:space="preserve">bude vyplacen </w:t>
      </w:r>
      <w:r w:rsidR="00E16666" w:rsidRPr="00DB51B5">
        <w:rPr>
          <w:sz w:val="18"/>
          <w:szCs w:val="18"/>
        </w:rPr>
        <w:t xml:space="preserve">Obdarovanému </w:t>
      </w:r>
      <w:r w:rsidR="00C4334A" w:rsidRPr="00DB51B5">
        <w:rPr>
          <w:sz w:val="18"/>
          <w:szCs w:val="18"/>
        </w:rPr>
        <w:t xml:space="preserve">na základě vyúčtování </w:t>
      </w:r>
      <w:r w:rsidR="004E41C4" w:rsidRPr="00DB51B5">
        <w:rPr>
          <w:sz w:val="18"/>
          <w:szCs w:val="18"/>
        </w:rPr>
        <w:t>za servis/</w:t>
      </w:r>
      <w:r w:rsidR="00EC6BE2" w:rsidRPr="00DB51B5">
        <w:rPr>
          <w:sz w:val="18"/>
          <w:szCs w:val="18"/>
        </w:rPr>
        <w:t>oprav</w:t>
      </w:r>
      <w:r w:rsidR="004E41C4" w:rsidRPr="00DB51B5">
        <w:rPr>
          <w:sz w:val="18"/>
          <w:szCs w:val="18"/>
        </w:rPr>
        <w:t>u</w:t>
      </w:r>
      <w:r w:rsidRPr="00DB51B5">
        <w:rPr>
          <w:sz w:val="18"/>
          <w:szCs w:val="18"/>
        </w:rPr>
        <w:t xml:space="preserve"> </w:t>
      </w:r>
      <w:proofErr w:type="spellStart"/>
      <w:r w:rsidR="004E41C4" w:rsidRPr="00DB51B5">
        <w:rPr>
          <w:sz w:val="18"/>
          <w:szCs w:val="18"/>
        </w:rPr>
        <w:t>B</w:t>
      </w:r>
      <w:r w:rsidRPr="00DB51B5">
        <w:rPr>
          <w:sz w:val="18"/>
          <w:szCs w:val="18"/>
        </w:rPr>
        <w:t>abybox</w:t>
      </w:r>
      <w:r w:rsidR="00C4334A" w:rsidRPr="00DB51B5">
        <w:rPr>
          <w:sz w:val="18"/>
          <w:szCs w:val="18"/>
        </w:rPr>
        <w:t>u</w:t>
      </w:r>
      <w:proofErr w:type="spellEnd"/>
      <w:r w:rsidR="00E16666" w:rsidRPr="00DB51B5">
        <w:rPr>
          <w:sz w:val="18"/>
          <w:szCs w:val="18"/>
        </w:rPr>
        <w:t xml:space="preserve"> doručeného Dárci</w:t>
      </w:r>
      <w:r w:rsidR="00777CCC" w:rsidRPr="00DB51B5">
        <w:rPr>
          <w:sz w:val="18"/>
          <w:szCs w:val="18"/>
        </w:rPr>
        <w:t xml:space="preserve"> Obdarovaným,</w:t>
      </w:r>
      <w:r w:rsidR="00DB51B5" w:rsidRPr="00DB51B5">
        <w:rPr>
          <w:sz w:val="18"/>
          <w:szCs w:val="18"/>
        </w:rPr>
        <w:t xml:space="preserve"> </w:t>
      </w:r>
      <w:r w:rsidR="00777CCC" w:rsidRPr="00DB51B5">
        <w:rPr>
          <w:sz w:val="18"/>
          <w:szCs w:val="18"/>
        </w:rPr>
        <w:t xml:space="preserve">který byl vystaven </w:t>
      </w:r>
      <w:r w:rsidR="004E41C4" w:rsidRPr="00DB51B5">
        <w:rPr>
          <w:sz w:val="18"/>
          <w:szCs w:val="18"/>
        </w:rPr>
        <w:t xml:space="preserve">osobou provádějící servis/opravu </w:t>
      </w:r>
      <w:proofErr w:type="spellStart"/>
      <w:r w:rsidR="004E41C4" w:rsidRPr="00DB51B5">
        <w:rPr>
          <w:sz w:val="18"/>
          <w:szCs w:val="18"/>
        </w:rPr>
        <w:t>Babyboxu</w:t>
      </w:r>
      <w:proofErr w:type="spellEnd"/>
      <w:r w:rsidR="004E41C4" w:rsidRPr="00DB51B5">
        <w:rPr>
          <w:sz w:val="18"/>
          <w:szCs w:val="18"/>
        </w:rPr>
        <w:t xml:space="preserve"> (</w:t>
      </w:r>
      <w:r w:rsidR="004F78EB" w:rsidRPr="00DB51B5">
        <w:rPr>
          <w:b/>
          <w:bCs/>
          <w:sz w:val="18"/>
          <w:szCs w:val="18"/>
        </w:rPr>
        <w:t xml:space="preserve">Zdeněk Juřica – MONTEL </w:t>
      </w:r>
      <w:r w:rsidR="004F78EB" w:rsidRPr="00DB51B5">
        <w:rPr>
          <w:bCs/>
          <w:sz w:val="18"/>
          <w:szCs w:val="18"/>
        </w:rPr>
        <w:t>se sídlem Náměšť nad Oslavou, Třebíčská 272 IČ</w:t>
      </w:r>
      <w:r w:rsidR="00DB51B5">
        <w:rPr>
          <w:bCs/>
          <w:sz w:val="18"/>
          <w:szCs w:val="18"/>
        </w:rPr>
        <w:t>O</w:t>
      </w:r>
      <w:r w:rsidR="004F78EB" w:rsidRPr="00DB51B5">
        <w:rPr>
          <w:bCs/>
          <w:sz w:val="18"/>
          <w:szCs w:val="18"/>
        </w:rPr>
        <w:t>: 13070819</w:t>
      </w:r>
      <w:r w:rsidR="009971A5" w:rsidRPr="00DB51B5">
        <w:rPr>
          <w:bCs/>
          <w:sz w:val="18"/>
          <w:szCs w:val="18"/>
        </w:rPr>
        <w:t>)</w:t>
      </w:r>
      <w:r w:rsidR="00DB51B5">
        <w:rPr>
          <w:bCs/>
          <w:sz w:val="18"/>
          <w:szCs w:val="18"/>
        </w:rPr>
        <w:t>, přičemž</w:t>
      </w:r>
      <w:r w:rsidRPr="00DB51B5">
        <w:rPr>
          <w:sz w:val="18"/>
          <w:szCs w:val="18"/>
        </w:rPr>
        <w:t xml:space="preserve">. </w:t>
      </w:r>
      <w:r w:rsidR="009971A5" w:rsidRPr="00DB51B5">
        <w:rPr>
          <w:sz w:val="18"/>
          <w:szCs w:val="18"/>
        </w:rPr>
        <w:t xml:space="preserve">Dárce během dvouleté záruční </w:t>
      </w:r>
      <w:r w:rsidR="00DB51B5">
        <w:rPr>
          <w:sz w:val="18"/>
          <w:szCs w:val="18"/>
        </w:rPr>
        <w:t>doby</w:t>
      </w:r>
      <w:r w:rsidR="009971A5" w:rsidRPr="00DB51B5">
        <w:rPr>
          <w:sz w:val="18"/>
          <w:szCs w:val="18"/>
        </w:rPr>
        <w:t xml:space="preserve"> nebude proplácet žádné opravy. </w:t>
      </w:r>
      <w:r>
        <w:rPr>
          <w:sz w:val="18"/>
          <w:szCs w:val="18"/>
        </w:rPr>
        <w:t>Dárce</w:t>
      </w:r>
      <w:r w:rsidR="00DB51B5">
        <w:rPr>
          <w:sz w:val="18"/>
          <w:szCs w:val="18"/>
        </w:rPr>
        <w:t xml:space="preserve"> dále</w:t>
      </w:r>
      <w:r w:rsidR="009971A5">
        <w:rPr>
          <w:sz w:val="18"/>
          <w:szCs w:val="18"/>
        </w:rPr>
        <w:t xml:space="preserve"> nebude proplácet mimo </w:t>
      </w:r>
      <w:r w:rsidR="009971A5" w:rsidRPr="0095468C">
        <w:rPr>
          <w:sz w:val="18"/>
          <w:szCs w:val="18"/>
        </w:rPr>
        <w:t>rámec standardních oprav</w:t>
      </w:r>
      <w:r w:rsidR="00DB51B5">
        <w:rPr>
          <w:sz w:val="18"/>
          <w:szCs w:val="18"/>
        </w:rPr>
        <w:t xml:space="preserve"> </w:t>
      </w:r>
      <w:r w:rsidR="004E41C4" w:rsidRPr="0095468C">
        <w:rPr>
          <w:sz w:val="18"/>
          <w:szCs w:val="18"/>
        </w:rPr>
        <w:t>O</w:t>
      </w:r>
      <w:r w:rsidRPr="0095468C">
        <w:rPr>
          <w:sz w:val="18"/>
          <w:szCs w:val="18"/>
        </w:rPr>
        <w:t>bdarovanému ani žádn</w:t>
      </w:r>
      <w:r w:rsidR="004E41C4" w:rsidRPr="0095468C">
        <w:rPr>
          <w:sz w:val="18"/>
          <w:szCs w:val="18"/>
        </w:rPr>
        <w:t>ý</w:t>
      </w:r>
      <w:r w:rsidRPr="0095468C">
        <w:rPr>
          <w:sz w:val="18"/>
          <w:szCs w:val="18"/>
        </w:rPr>
        <w:t xml:space="preserve"> upgrade</w:t>
      </w:r>
      <w:r w:rsidR="00E16666" w:rsidRPr="0095468C">
        <w:rPr>
          <w:sz w:val="18"/>
          <w:szCs w:val="18"/>
        </w:rPr>
        <w:t xml:space="preserve"> (vylepšení) či jinou obdobnou úpravu </w:t>
      </w:r>
      <w:r w:rsidRPr="0095468C">
        <w:rPr>
          <w:sz w:val="18"/>
          <w:szCs w:val="18"/>
        </w:rPr>
        <w:t xml:space="preserve"> </w:t>
      </w:r>
      <w:proofErr w:type="spellStart"/>
      <w:r w:rsidR="00E16666" w:rsidRPr="0095468C">
        <w:rPr>
          <w:sz w:val="18"/>
          <w:szCs w:val="18"/>
        </w:rPr>
        <w:t>B</w:t>
      </w:r>
      <w:r w:rsidRPr="0095468C">
        <w:rPr>
          <w:sz w:val="18"/>
          <w:szCs w:val="18"/>
        </w:rPr>
        <w:t>abybox</w:t>
      </w:r>
      <w:r w:rsidR="00E16666" w:rsidRPr="0095468C">
        <w:rPr>
          <w:sz w:val="18"/>
          <w:szCs w:val="18"/>
        </w:rPr>
        <w:t>u</w:t>
      </w:r>
      <w:proofErr w:type="spellEnd"/>
      <w:r w:rsidRPr="0095468C">
        <w:rPr>
          <w:sz w:val="18"/>
          <w:szCs w:val="18"/>
        </w:rPr>
        <w:t xml:space="preserve">. </w:t>
      </w:r>
      <w:r w:rsidR="001344A8" w:rsidRPr="0095468C">
        <w:rPr>
          <w:sz w:val="18"/>
          <w:szCs w:val="18"/>
        </w:rPr>
        <w:t xml:space="preserve">Ročně nesmí činit součet částek za všechny servisy/opravy víc než 25.000 </w:t>
      </w:r>
      <w:r w:rsidR="0095468C">
        <w:rPr>
          <w:sz w:val="18"/>
          <w:szCs w:val="18"/>
        </w:rPr>
        <w:t xml:space="preserve">Kč </w:t>
      </w:r>
      <w:r w:rsidR="001344A8" w:rsidRPr="0095468C">
        <w:rPr>
          <w:sz w:val="18"/>
          <w:szCs w:val="18"/>
        </w:rPr>
        <w:t>včetně cestovních náhrad.</w:t>
      </w:r>
      <w:r>
        <w:rPr>
          <w:sz w:val="18"/>
          <w:szCs w:val="18"/>
        </w:rPr>
        <w:t xml:space="preserve"> Dárce si vy</w:t>
      </w:r>
      <w:r w:rsidR="00E16666">
        <w:rPr>
          <w:sz w:val="18"/>
          <w:szCs w:val="18"/>
        </w:rPr>
        <w:t>hrazuje</w:t>
      </w:r>
      <w:r>
        <w:rPr>
          <w:sz w:val="18"/>
          <w:szCs w:val="18"/>
        </w:rPr>
        <w:t xml:space="preserve"> možnost rozhodnout, které položky </w:t>
      </w:r>
      <w:r w:rsidR="00DA1C0E">
        <w:rPr>
          <w:sz w:val="18"/>
          <w:szCs w:val="18"/>
        </w:rPr>
        <w:t xml:space="preserve">servisu/opravy </w:t>
      </w:r>
      <w:proofErr w:type="spellStart"/>
      <w:r w:rsidR="00DA1C0E">
        <w:rPr>
          <w:sz w:val="18"/>
          <w:szCs w:val="18"/>
        </w:rPr>
        <w:t>Babyboxu</w:t>
      </w:r>
      <w:proofErr w:type="spellEnd"/>
      <w:r w:rsidR="00DA1C0E">
        <w:rPr>
          <w:sz w:val="18"/>
          <w:szCs w:val="18"/>
        </w:rPr>
        <w:t xml:space="preserve"> </w:t>
      </w:r>
      <w:r>
        <w:rPr>
          <w:sz w:val="18"/>
          <w:szCs w:val="18"/>
        </w:rPr>
        <w:t>zahrne do proplacení</w:t>
      </w:r>
      <w:r w:rsidR="00DA1C0E">
        <w:rPr>
          <w:sz w:val="18"/>
          <w:szCs w:val="18"/>
        </w:rPr>
        <w:t>, tj. v jaké výši bude konkrétní Dar</w:t>
      </w:r>
      <w:r>
        <w:rPr>
          <w:sz w:val="18"/>
          <w:szCs w:val="18"/>
        </w:rPr>
        <w:t>.</w:t>
      </w:r>
    </w:p>
    <w:p w:rsidR="00DB51B5" w:rsidRDefault="00DB51B5" w:rsidP="004F78EB">
      <w:pPr>
        <w:spacing w:line="288" w:lineRule="auto"/>
        <w:jc w:val="both"/>
        <w:rPr>
          <w:sz w:val="18"/>
          <w:szCs w:val="18"/>
          <w:highlight w:val="yellow"/>
        </w:rPr>
      </w:pPr>
    </w:p>
    <w:p w:rsidR="00727E7E" w:rsidRDefault="00DB51B5" w:rsidP="00DB51B5">
      <w:pPr>
        <w:spacing w:line="288" w:lineRule="auto"/>
        <w:ind w:left="426" w:hanging="426"/>
        <w:jc w:val="both"/>
        <w:rPr>
          <w:sz w:val="18"/>
          <w:szCs w:val="18"/>
        </w:rPr>
      </w:pPr>
      <w:proofErr w:type="gramStart"/>
      <w:r>
        <w:rPr>
          <w:sz w:val="18"/>
          <w:szCs w:val="18"/>
          <w:highlight w:val="yellow"/>
        </w:rPr>
        <w:t>I</w:t>
      </w:r>
      <w:r w:rsidRPr="006E3492">
        <w:rPr>
          <w:sz w:val="18"/>
          <w:szCs w:val="18"/>
        </w:rPr>
        <w:t xml:space="preserve">.3 </w:t>
      </w:r>
      <w:r w:rsidRPr="006E3492">
        <w:rPr>
          <w:sz w:val="18"/>
          <w:szCs w:val="18"/>
        </w:rPr>
        <w:tab/>
      </w:r>
      <w:r w:rsidR="00727E7E" w:rsidRPr="006E3492">
        <w:rPr>
          <w:sz w:val="18"/>
          <w:szCs w:val="18"/>
        </w:rPr>
        <w:t>Obdarovaný</w:t>
      </w:r>
      <w:proofErr w:type="gramEnd"/>
      <w:r w:rsidR="00727E7E" w:rsidRPr="006E3492">
        <w:rPr>
          <w:sz w:val="18"/>
          <w:szCs w:val="18"/>
        </w:rPr>
        <w:t xml:space="preserve"> prohlašuje, že </w:t>
      </w:r>
      <w:proofErr w:type="spellStart"/>
      <w:r w:rsidRPr="006E3492">
        <w:rPr>
          <w:sz w:val="18"/>
          <w:szCs w:val="18"/>
        </w:rPr>
        <w:t>B</w:t>
      </w:r>
      <w:r w:rsidR="00727E7E" w:rsidRPr="006E3492">
        <w:rPr>
          <w:sz w:val="18"/>
          <w:szCs w:val="18"/>
        </w:rPr>
        <w:t>abybox</w:t>
      </w:r>
      <w:proofErr w:type="spellEnd"/>
      <w:r w:rsidR="00727E7E" w:rsidRPr="006E3492">
        <w:rPr>
          <w:sz w:val="18"/>
          <w:szCs w:val="18"/>
        </w:rPr>
        <w:t xml:space="preserve"> instalovaný v jeho areálu je </w:t>
      </w:r>
      <w:r w:rsidR="00E73CED" w:rsidRPr="006E3492">
        <w:rPr>
          <w:sz w:val="18"/>
          <w:szCs w:val="18"/>
        </w:rPr>
        <w:t>pojištěn nebo je součástí pojištění proti vandalismu.</w:t>
      </w:r>
    </w:p>
    <w:p w:rsidR="00C4334A" w:rsidRDefault="00C4334A" w:rsidP="00EF42AC">
      <w:pPr>
        <w:ind w:left="426" w:hanging="426"/>
        <w:jc w:val="both"/>
        <w:rPr>
          <w:sz w:val="18"/>
          <w:szCs w:val="18"/>
        </w:rPr>
      </w:pPr>
    </w:p>
    <w:p w:rsidR="0021093B" w:rsidRDefault="0059684E" w:rsidP="0059684E">
      <w:pPr>
        <w:ind w:left="426" w:hanging="426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I.</w:t>
      </w:r>
      <w:r w:rsidR="00DB51B5">
        <w:rPr>
          <w:sz w:val="18"/>
          <w:szCs w:val="18"/>
        </w:rPr>
        <w:t>4</w:t>
      </w:r>
      <w:r>
        <w:rPr>
          <w:sz w:val="18"/>
          <w:szCs w:val="18"/>
        </w:rPr>
        <w:t>.</w:t>
      </w:r>
      <w:proofErr w:type="gramEnd"/>
      <w:r>
        <w:rPr>
          <w:sz w:val="18"/>
          <w:szCs w:val="18"/>
        </w:rPr>
        <w:t xml:space="preserve">  </w:t>
      </w:r>
      <w:r w:rsidR="001001FF">
        <w:rPr>
          <w:sz w:val="18"/>
          <w:szCs w:val="18"/>
        </w:rPr>
        <w:tab/>
      </w:r>
      <w:r w:rsidR="005D5144">
        <w:rPr>
          <w:sz w:val="18"/>
          <w:szCs w:val="18"/>
        </w:rPr>
        <w:t>Finanční částka</w:t>
      </w:r>
      <w:r w:rsidR="00DA1C0E">
        <w:rPr>
          <w:sz w:val="18"/>
          <w:szCs w:val="18"/>
        </w:rPr>
        <w:t xml:space="preserve"> (Dar)</w:t>
      </w:r>
      <w:r w:rsidR="005D5144">
        <w:rPr>
          <w:sz w:val="18"/>
          <w:szCs w:val="18"/>
        </w:rPr>
        <w:t xml:space="preserve"> </w:t>
      </w:r>
      <w:r w:rsidR="0021093B" w:rsidRPr="0086195D">
        <w:rPr>
          <w:sz w:val="18"/>
          <w:szCs w:val="18"/>
        </w:rPr>
        <w:t>bud</w:t>
      </w:r>
      <w:r w:rsidR="0021093B" w:rsidRPr="00811369">
        <w:rPr>
          <w:sz w:val="18"/>
          <w:szCs w:val="18"/>
        </w:rPr>
        <w:t xml:space="preserve">e </w:t>
      </w:r>
      <w:r w:rsidR="00DA1C0E">
        <w:rPr>
          <w:sz w:val="18"/>
          <w:szCs w:val="18"/>
        </w:rPr>
        <w:t xml:space="preserve">vždy </w:t>
      </w:r>
      <w:r w:rsidR="0021093B" w:rsidRPr="00811369">
        <w:rPr>
          <w:sz w:val="18"/>
          <w:szCs w:val="18"/>
        </w:rPr>
        <w:t xml:space="preserve">převedena na bankovní účet Obdarovaného číslo </w:t>
      </w:r>
      <w:r w:rsidR="006E3492" w:rsidRPr="006E3492">
        <w:rPr>
          <w:sz w:val="18"/>
          <w:szCs w:val="18"/>
        </w:rPr>
        <w:t>182-401202834/06</w:t>
      </w:r>
      <w:r w:rsidR="006E3492">
        <w:rPr>
          <w:sz w:val="18"/>
          <w:szCs w:val="18"/>
        </w:rPr>
        <w:t xml:space="preserve">00, </w:t>
      </w:r>
      <w:r w:rsidR="006E3492" w:rsidRPr="00EE46B4">
        <w:rPr>
          <w:color w:val="000000"/>
        </w:rPr>
        <w:t>GE Money Bank, a.s.</w:t>
      </w:r>
      <w:r w:rsidR="005D5144">
        <w:rPr>
          <w:sz w:val="18"/>
          <w:szCs w:val="18"/>
        </w:rPr>
        <w:t xml:space="preserve"> </w:t>
      </w:r>
      <w:r w:rsidR="0021093B" w:rsidRPr="00811369">
        <w:rPr>
          <w:sz w:val="18"/>
          <w:szCs w:val="18"/>
        </w:rPr>
        <w:t xml:space="preserve">nejpozději do 14 </w:t>
      </w:r>
      <w:r w:rsidR="005D5144">
        <w:rPr>
          <w:sz w:val="18"/>
          <w:szCs w:val="18"/>
        </w:rPr>
        <w:t xml:space="preserve">pracovních dnů od </w:t>
      </w:r>
      <w:r w:rsidR="00DA1C0E">
        <w:rPr>
          <w:sz w:val="18"/>
          <w:szCs w:val="18"/>
        </w:rPr>
        <w:t>do</w:t>
      </w:r>
      <w:r w:rsidR="005D5144">
        <w:rPr>
          <w:sz w:val="18"/>
          <w:szCs w:val="18"/>
        </w:rPr>
        <w:t>r</w:t>
      </w:r>
      <w:r w:rsidR="00DA1C0E">
        <w:rPr>
          <w:sz w:val="18"/>
          <w:szCs w:val="18"/>
        </w:rPr>
        <w:t>uč</w:t>
      </w:r>
      <w:r w:rsidR="005D5144">
        <w:rPr>
          <w:sz w:val="18"/>
          <w:szCs w:val="18"/>
        </w:rPr>
        <w:t>ení vyúčtování</w:t>
      </w:r>
      <w:r w:rsidR="00DA1C0E">
        <w:rPr>
          <w:sz w:val="18"/>
          <w:szCs w:val="18"/>
        </w:rPr>
        <w:t xml:space="preserve"> dle </w:t>
      </w:r>
      <w:proofErr w:type="gramStart"/>
      <w:r w:rsidR="00DA1C0E">
        <w:rPr>
          <w:sz w:val="18"/>
          <w:szCs w:val="18"/>
        </w:rPr>
        <w:t>odst. I.2</w:t>
      </w:r>
      <w:r w:rsidR="005D5144">
        <w:rPr>
          <w:sz w:val="18"/>
          <w:szCs w:val="18"/>
        </w:rPr>
        <w:t>.</w:t>
      </w:r>
      <w:proofErr w:type="gramEnd"/>
    </w:p>
    <w:p w:rsidR="0021093B" w:rsidRDefault="0021093B">
      <w:pPr>
        <w:jc w:val="center"/>
        <w:rPr>
          <w:sz w:val="18"/>
          <w:szCs w:val="18"/>
        </w:rPr>
      </w:pPr>
    </w:p>
    <w:p w:rsidR="00DA1C0E" w:rsidRDefault="00DA1C0E">
      <w:pPr>
        <w:jc w:val="center"/>
        <w:rPr>
          <w:sz w:val="18"/>
          <w:szCs w:val="18"/>
        </w:rPr>
      </w:pPr>
    </w:p>
    <w:p w:rsidR="0021093B" w:rsidRDefault="0021093B">
      <w:pPr>
        <w:jc w:val="center"/>
        <w:rPr>
          <w:sz w:val="18"/>
          <w:szCs w:val="18"/>
        </w:rPr>
      </w:pPr>
    </w:p>
    <w:p w:rsidR="0021093B" w:rsidRDefault="0021093B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Článek II. Ostatní ujednání</w:t>
      </w:r>
    </w:p>
    <w:p w:rsidR="0021093B" w:rsidRDefault="0021093B">
      <w:pPr>
        <w:ind w:left="426" w:hanging="426"/>
        <w:jc w:val="both"/>
        <w:rPr>
          <w:color w:val="000000"/>
          <w:sz w:val="18"/>
          <w:szCs w:val="18"/>
        </w:rPr>
      </w:pPr>
    </w:p>
    <w:p w:rsidR="0021093B" w:rsidRDefault="0021093B">
      <w:pPr>
        <w:ind w:left="426" w:hanging="426"/>
        <w:jc w:val="both"/>
        <w:rPr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II.1</w:t>
      </w:r>
      <w:r>
        <w:rPr>
          <w:color w:val="000000"/>
          <w:sz w:val="18"/>
          <w:szCs w:val="18"/>
        </w:rPr>
        <w:tab/>
        <w:t>O</w:t>
      </w:r>
      <w:r>
        <w:rPr>
          <w:sz w:val="18"/>
          <w:szCs w:val="18"/>
        </w:rPr>
        <w:t>bdarovaný</w:t>
      </w:r>
      <w:proofErr w:type="gramEnd"/>
      <w:r>
        <w:rPr>
          <w:sz w:val="18"/>
          <w:szCs w:val="18"/>
        </w:rPr>
        <w:t xml:space="preserve"> prohlašuje a podpisem této Smlouvy stvrzuje, že Dar přijímá. </w:t>
      </w:r>
    </w:p>
    <w:p w:rsidR="0021093B" w:rsidRDefault="0021093B">
      <w:pPr>
        <w:ind w:left="426" w:hanging="426"/>
        <w:jc w:val="both"/>
        <w:rPr>
          <w:color w:val="000000"/>
          <w:sz w:val="18"/>
          <w:szCs w:val="18"/>
        </w:rPr>
      </w:pPr>
    </w:p>
    <w:p w:rsidR="0021093B" w:rsidRDefault="0021093B">
      <w:pPr>
        <w:ind w:left="426" w:hanging="426"/>
        <w:jc w:val="both"/>
        <w:rPr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II.2</w:t>
      </w:r>
      <w:r>
        <w:rPr>
          <w:color w:val="000000"/>
          <w:sz w:val="18"/>
          <w:szCs w:val="18"/>
        </w:rPr>
        <w:tab/>
        <w:t>Smluvní</w:t>
      </w:r>
      <w:proofErr w:type="gramEnd"/>
      <w:r>
        <w:rPr>
          <w:color w:val="000000"/>
          <w:sz w:val="18"/>
          <w:szCs w:val="18"/>
        </w:rPr>
        <w:t xml:space="preserve"> strany sjednávají, že Dar je přenechán Obdarovanému pro jeho využití výlučně za účelem </w:t>
      </w:r>
      <w:r>
        <w:rPr>
          <w:sz w:val="18"/>
          <w:szCs w:val="18"/>
        </w:rPr>
        <w:t xml:space="preserve">specifikovaným v čl. I </w:t>
      </w:r>
      <w:r w:rsidR="00DA1C0E">
        <w:rPr>
          <w:sz w:val="18"/>
          <w:szCs w:val="18"/>
        </w:rPr>
        <w:t>této S</w:t>
      </w:r>
      <w:r>
        <w:rPr>
          <w:sz w:val="18"/>
          <w:szCs w:val="18"/>
        </w:rPr>
        <w:t>mlouvy.</w:t>
      </w:r>
    </w:p>
    <w:p w:rsidR="0021093B" w:rsidRDefault="0021093B">
      <w:pPr>
        <w:ind w:left="426" w:hanging="426"/>
        <w:jc w:val="both"/>
        <w:rPr>
          <w:sz w:val="18"/>
          <w:szCs w:val="18"/>
        </w:rPr>
      </w:pPr>
    </w:p>
    <w:p w:rsidR="001344A8" w:rsidRDefault="0021093B">
      <w:pPr>
        <w:ind w:left="426" w:hanging="426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II.3</w:t>
      </w:r>
      <w:r>
        <w:rPr>
          <w:sz w:val="18"/>
          <w:szCs w:val="18"/>
        </w:rPr>
        <w:tab/>
      </w:r>
      <w:r w:rsidRPr="00EF42AC">
        <w:rPr>
          <w:sz w:val="18"/>
          <w:szCs w:val="18"/>
        </w:rPr>
        <w:t>Obdarovaný</w:t>
      </w:r>
      <w:proofErr w:type="gramEnd"/>
      <w:r w:rsidRPr="00EF42AC">
        <w:rPr>
          <w:sz w:val="18"/>
          <w:szCs w:val="18"/>
        </w:rPr>
        <w:t xml:space="preserve"> se zavazuje</w:t>
      </w:r>
      <w:r w:rsidR="009971A5">
        <w:rPr>
          <w:sz w:val="18"/>
          <w:szCs w:val="18"/>
        </w:rPr>
        <w:t>, že použije</w:t>
      </w:r>
      <w:r w:rsidRPr="00EF42AC">
        <w:rPr>
          <w:sz w:val="18"/>
          <w:szCs w:val="18"/>
        </w:rPr>
        <w:t xml:space="preserve"> </w:t>
      </w:r>
      <w:r w:rsidR="002A7004" w:rsidRPr="00EF42AC">
        <w:rPr>
          <w:sz w:val="18"/>
          <w:szCs w:val="18"/>
        </w:rPr>
        <w:t xml:space="preserve">Dar </w:t>
      </w:r>
      <w:r w:rsidRPr="00EF42AC">
        <w:rPr>
          <w:sz w:val="18"/>
          <w:szCs w:val="18"/>
        </w:rPr>
        <w:t xml:space="preserve">k  účelu uvedenému v čl. I </w:t>
      </w:r>
    </w:p>
    <w:p w:rsidR="0021093B" w:rsidRDefault="0021093B">
      <w:pPr>
        <w:ind w:left="426" w:hanging="426"/>
        <w:jc w:val="both"/>
        <w:rPr>
          <w:sz w:val="18"/>
          <w:szCs w:val="18"/>
        </w:rPr>
      </w:pPr>
    </w:p>
    <w:p w:rsidR="0021093B" w:rsidRDefault="0021093B">
      <w:pPr>
        <w:ind w:left="426" w:hanging="426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II.4</w:t>
      </w:r>
      <w:r>
        <w:rPr>
          <w:sz w:val="18"/>
          <w:szCs w:val="18"/>
        </w:rPr>
        <w:tab/>
      </w:r>
      <w:r w:rsidR="00BA60AD" w:rsidRPr="002D1B07">
        <w:rPr>
          <w:sz w:val="18"/>
          <w:szCs w:val="18"/>
        </w:rPr>
        <w:t>Obdarovaný</w:t>
      </w:r>
      <w:proofErr w:type="gramEnd"/>
      <w:r w:rsidR="00BA60AD" w:rsidRPr="002D1B07">
        <w:rPr>
          <w:sz w:val="18"/>
          <w:szCs w:val="18"/>
        </w:rPr>
        <w:t xml:space="preserve"> souhlasí se zveřejněním informace o svém obdarování a dále výslovně souhlasí se zveřejněním pořízených podobizen či obrazových a zvukových záznamů ve výroční zprávě Dárce, případně v jiných jím zveřejňovaných zprávách a informacích o činnosti Dárce a souhlasí také se šířením podobizen či obrazových a zvukových záznamů. Obdarovaný zároveň prohlašuje, že osoby přítomné při obdarování mu v souladu s platnými právními předpisy udělily souhlas s pořízením, použitím a šířením své podobizny či obrazového a zvukového záznamu pro výše uvedený účel.</w:t>
      </w:r>
    </w:p>
    <w:p w:rsidR="00727E7E" w:rsidRDefault="00727E7E">
      <w:pPr>
        <w:ind w:left="426" w:hanging="426"/>
        <w:jc w:val="both"/>
        <w:rPr>
          <w:sz w:val="18"/>
          <w:szCs w:val="18"/>
        </w:rPr>
      </w:pPr>
    </w:p>
    <w:p w:rsidR="00BB330C" w:rsidRDefault="00BB330C">
      <w:pPr>
        <w:jc w:val="both"/>
        <w:rPr>
          <w:sz w:val="18"/>
          <w:szCs w:val="18"/>
        </w:rPr>
      </w:pPr>
    </w:p>
    <w:p w:rsidR="0021093B" w:rsidRPr="006E3492" w:rsidRDefault="00727E7E">
      <w:pPr>
        <w:jc w:val="both"/>
        <w:rPr>
          <w:b/>
          <w:sz w:val="18"/>
          <w:szCs w:val="18"/>
        </w:rPr>
      </w:pPr>
      <w:r w:rsidRPr="006E3492">
        <w:rPr>
          <w:b/>
          <w:sz w:val="18"/>
          <w:szCs w:val="18"/>
        </w:rPr>
        <w:t xml:space="preserve">Článek III. </w:t>
      </w:r>
      <w:r w:rsidR="00BB330C" w:rsidRPr="006E3492">
        <w:rPr>
          <w:b/>
          <w:sz w:val="18"/>
          <w:szCs w:val="18"/>
        </w:rPr>
        <w:t xml:space="preserve"> </w:t>
      </w:r>
      <w:r w:rsidR="003C025C" w:rsidRPr="006E3492">
        <w:rPr>
          <w:b/>
          <w:sz w:val="18"/>
          <w:szCs w:val="18"/>
        </w:rPr>
        <w:t>Doba trvání</w:t>
      </w:r>
      <w:r w:rsidR="00BB330C" w:rsidRPr="006E3492">
        <w:rPr>
          <w:b/>
          <w:sz w:val="18"/>
          <w:szCs w:val="18"/>
        </w:rPr>
        <w:t xml:space="preserve"> S</w:t>
      </w:r>
      <w:r w:rsidRPr="006E3492">
        <w:rPr>
          <w:b/>
          <w:sz w:val="18"/>
          <w:szCs w:val="18"/>
        </w:rPr>
        <w:t>mlouvy</w:t>
      </w:r>
    </w:p>
    <w:p w:rsidR="00727E7E" w:rsidRPr="006E3492" w:rsidRDefault="00727E7E">
      <w:pPr>
        <w:jc w:val="both"/>
        <w:rPr>
          <w:sz w:val="18"/>
          <w:szCs w:val="18"/>
        </w:rPr>
      </w:pPr>
    </w:p>
    <w:p w:rsidR="003C025C" w:rsidRPr="006E3492" w:rsidRDefault="00BB330C" w:rsidP="00BB330C">
      <w:pPr>
        <w:ind w:left="426" w:hanging="426"/>
        <w:jc w:val="both"/>
        <w:rPr>
          <w:sz w:val="18"/>
          <w:szCs w:val="18"/>
        </w:rPr>
      </w:pPr>
      <w:proofErr w:type="gramStart"/>
      <w:r w:rsidRPr="006E3492">
        <w:rPr>
          <w:sz w:val="18"/>
          <w:szCs w:val="18"/>
        </w:rPr>
        <w:t xml:space="preserve">III.1 </w:t>
      </w:r>
      <w:r w:rsidRPr="006E3492">
        <w:rPr>
          <w:sz w:val="18"/>
          <w:szCs w:val="18"/>
        </w:rPr>
        <w:tab/>
      </w:r>
      <w:r w:rsidR="003C025C" w:rsidRPr="006E3492">
        <w:rPr>
          <w:sz w:val="18"/>
          <w:szCs w:val="18"/>
        </w:rPr>
        <w:t>Tato</w:t>
      </w:r>
      <w:proofErr w:type="gramEnd"/>
      <w:r w:rsidR="003C025C" w:rsidRPr="006E3492">
        <w:rPr>
          <w:sz w:val="18"/>
          <w:szCs w:val="18"/>
        </w:rPr>
        <w:t xml:space="preserve"> Smlouva nabývá platnosti a účinnosti dnem jejího podpisu oběma Smluvními stranami.</w:t>
      </w:r>
    </w:p>
    <w:p w:rsidR="003C025C" w:rsidRPr="006E3492" w:rsidRDefault="003C025C" w:rsidP="00BB330C">
      <w:pPr>
        <w:ind w:left="426" w:hanging="426"/>
        <w:jc w:val="both"/>
        <w:rPr>
          <w:sz w:val="18"/>
          <w:szCs w:val="18"/>
        </w:rPr>
      </w:pPr>
    </w:p>
    <w:p w:rsidR="00727E7E" w:rsidRDefault="003C025C" w:rsidP="006E3492">
      <w:pPr>
        <w:ind w:left="426" w:hanging="426"/>
        <w:jc w:val="both"/>
        <w:rPr>
          <w:sz w:val="18"/>
          <w:szCs w:val="18"/>
        </w:rPr>
      </w:pPr>
      <w:proofErr w:type="gramStart"/>
      <w:r w:rsidRPr="006E3492">
        <w:rPr>
          <w:sz w:val="18"/>
          <w:szCs w:val="18"/>
        </w:rPr>
        <w:t>III.2</w:t>
      </w:r>
      <w:r w:rsidRPr="006E3492">
        <w:rPr>
          <w:sz w:val="18"/>
          <w:szCs w:val="18"/>
        </w:rPr>
        <w:tab/>
        <w:t>Tato</w:t>
      </w:r>
      <w:proofErr w:type="gramEnd"/>
      <w:r w:rsidRPr="006E3492">
        <w:rPr>
          <w:sz w:val="18"/>
          <w:szCs w:val="18"/>
        </w:rPr>
        <w:t xml:space="preserve"> Smlouva se uzavírá na dobu neurčitou. Každá ze Smluvních stran je oprávněna Smlouvu vypovědět i bez uvedení důvodu s</w:t>
      </w:r>
      <w:r w:rsidR="00845A4D" w:rsidRPr="006E3492">
        <w:rPr>
          <w:sz w:val="18"/>
          <w:szCs w:val="18"/>
        </w:rPr>
        <w:t> </w:t>
      </w:r>
      <w:proofErr w:type="gramStart"/>
      <w:r w:rsidR="00845A4D" w:rsidRPr="006E3492">
        <w:rPr>
          <w:sz w:val="18"/>
          <w:szCs w:val="18"/>
        </w:rPr>
        <w:t xml:space="preserve">dvoutýdenní </w:t>
      </w:r>
      <w:r w:rsidR="00BD5486" w:rsidRPr="006E3492">
        <w:rPr>
          <w:sz w:val="18"/>
          <w:szCs w:val="18"/>
        </w:rPr>
        <w:t xml:space="preserve"> </w:t>
      </w:r>
      <w:r w:rsidRPr="006E3492">
        <w:rPr>
          <w:sz w:val="18"/>
          <w:szCs w:val="18"/>
        </w:rPr>
        <w:t>výpovědní</w:t>
      </w:r>
      <w:proofErr w:type="gramEnd"/>
      <w:r w:rsidRPr="006E3492">
        <w:rPr>
          <w:sz w:val="18"/>
          <w:szCs w:val="18"/>
        </w:rPr>
        <w:t xml:space="preserve"> dobou, která počíná běžet </w:t>
      </w:r>
      <w:r w:rsidR="00D74058" w:rsidRPr="006E3492">
        <w:rPr>
          <w:sz w:val="18"/>
          <w:szCs w:val="18"/>
        </w:rPr>
        <w:t>od</w:t>
      </w:r>
      <w:r w:rsidR="00BD5486" w:rsidRPr="006E3492">
        <w:rPr>
          <w:sz w:val="18"/>
          <w:szCs w:val="18"/>
        </w:rPr>
        <w:t xml:space="preserve"> </w:t>
      </w:r>
      <w:r w:rsidR="006327E5" w:rsidRPr="006E3492">
        <w:rPr>
          <w:sz w:val="18"/>
          <w:szCs w:val="18"/>
        </w:rPr>
        <w:t>1.</w:t>
      </w:r>
      <w:r w:rsidR="00D74058" w:rsidRPr="006E3492">
        <w:rPr>
          <w:sz w:val="18"/>
          <w:szCs w:val="18"/>
        </w:rPr>
        <w:t xml:space="preserve"> dne </w:t>
      </w:r>
      <w:r w:rsidRPr="006E3492">
        <w:rPr>
          <w:sz w:val="18"/>
          <w:szCs w:val="18"/>
        </w:rPr>
        <w:t xml:space="preserve"> </w:t>
      </w:r>
      <w:r w:rsidR="00BD5486" w:rsidRPr="006E3492">
        <w:rPr>
          <w:sz w:val="18"/>
          <w:szCs w:val="18"/>
        </w:rPr>
        <w:t xml:space="preserve">následujícího </w:t>
      </w:r>
      <w:r w:rsidRPr="006E3492">
        <w:rPr>
          <w:sz w:val="18"/>
          <w:szCs w:val="18"/>
        </w:rPr>
        <w:t xml:space="preserve"> </w:t>
      </w:r>
      <w:r w:rsidR="00BD5486" w:rsidRPr="006E3492">
        <w:rPr>
          <w:sz w:val="18"/>
          <w:szCs w:val="18"/>
        </w:rPr>
        <w:t xml:space="preserve"> </w:t>
      </w:r>
      <w:r w:rsidR="00BD5486" w:rsidRPr="005348E6">
        <w:rPr>
          <w:sz w:val="18"/>
          <w:szCs w:val="18"/>
        </w:rPr>
        <w:t>měsíce.</w:t>
      </w:r>
    </w:p>
    <w:p w:rsidR="0021093B" w:rsidRDefault="0021093B">
      <w:pPr>
        <w:rPr>
          <w:b/>
          <w:bCs/>
          <w:sz w:val="18"/>
          <w:szCs w:val="18"/>
        </w:rPr>
      </w:pPr>
    </w:p>
    <w:p w:rsidR="0021093B" w:rsidRDefault="0021093B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Článek </w:t>
      </w:r>
      <w:r w:rsidR="00727E7E">
        <w:rPr>
          <w:b/>
          <w:bCs/>
          <w:sz w:val="18"/>
          <w:szCs w:val="18"/>
        </w:rPr>
        <w:t>IV.</w:t>
      </w:r>
      <w:r>
        <w:rPr>
          <w:b/>
          <w:bCs/>
          <w:sz w:val="18"/>
          <w:szCs w:val="18"/>
        </w:rPr>
        <w:t xml:space="preserve"> Závěrečná ustanovení</w:t>
      </w:r>
    </w:p>
    <w:p w:rsidR="0021093B" w:rsidRDefault="0021093B">
      <w:pPr>
        <w:ind w:left="426" w:hanging="426"/>
        <w:jc w:val="both"/>
        <w:rPr>
          <w:sz w:val="18"/>
          <w:szCs w:val="18"/>
        </w:rPr>
      </w:pPr>
    </w:p>
    <w:p w:rsidR="0021093B" w:rsidRDefault="0021093B">
      <w:pPr>
        <w:ind w:left="426" w:hanging="426"/>
        <w:jc w:val="both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I</w:t>
      </w:r>
      <w:r w:rsidR="007B386C">
        <w:rPr>
          <w:color w:val="000000"/>
          <w:sz w:val="18"/>
          <w:szCs w:val="18"/>
        </w:rPr>
        <w:t>V</w:t>
      </w:r>
      <w:r>
        <w:rPr>
          <w:color w:val="000000"/>
          <w:sz w:val="18"/>
          <w:szCs w:val="18"/>
        </w:rPr>
        <w:t>.1</w:t>
      </w:r>
      <w:r>
        <w:rPr>
          <w:color w:val="000000"/>
          <w:sz w:val="18"/>
          <w:szCs w:val="18"/>
        </w:rPr>
        <w:tab/>
        <w:t>Tuto</w:t>
      </w:r>
      <w:proofErr w:type="gramEnd"/>
      <w:r>
        <w:rPr>
          <w:color w:val="000000"/>
          <w:sz w:val="18"/>
          <w:szCs w:val="18"/>
        </w:rPr>
        <w:t xml:space="preserve"> Smlouvu lze měnit či doplňovat pouze písemnými dodatky podepsanými oběma Smluvními stranami.</w:t>
      </w:r>
    </w:p>
    <w:p w:rsidR="0021093B" w:rsidRDefault="0021093B">
      <w:pPr>
        <w:ind w:left="426" w:hanging="426"/>
        <w:jc w:val="both"/>
        <w:rPr>
          <w:color w:val="000000"/>
          <w:sz w:val="18"/>
          <w:szCs w:val="18"/>
        </w:rPr>
      </w:pPr>
    </w:p>
    <w:p w:rsidR="0021093B" w:rsidRDefault="0021093B">
      <w:pPr>
        <w:ind w:left="426" w:hanging="426"/>
        <w:jc w:val="both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I</w:t>
      </w:r>
      <w:r w:rsidR="007B386C">
        <w:rPr>
          <w:color w:val="000000"/>
          <w:sz w:val="18"/>
          <w:szCs w:val="18"/>
        </w:rPr>
        <w:t>V</w:t>
      </w:r>
      <w:r>
        <w:rPr>
          <w:color w:val="000000"/>
          <w:sz w:val="18"/>
          <w:szCs w:val="18"/>
        </w:rPr>
        <w:t>.2</w:t>
      </w:r>
      <w:r>
        <w:rPr>
          <w:color w:val="000000"/>
          <w:sz w:val="18"/>
          <w:szCs w:val="18"/>
        </w:rPr>
        <w:tab/>
        <w:t>Smlouva</w:t>
      </w:r>
      <w:proofErr w:type="gramEnd"/>
      <w:r>
        <w:rPr>
          <w:color w:val="000000"/>
          <w:sz w:val="18"/>
          <w:szCs w:val="18"/>
        </w:rPr>
        <w:t xml:space="preserve"> nabývá účinností dnem jejího podpisu oběma Smluvními stranami.</w:t>
      </w:r>
    </w:p>
    <w:p w:rsidR="0021093B" w:rsidRDefault="0021093B">
      <w:pPr>
        <w:jc w:val="both"/>
        <w:rPr>
          <w:sz w:val="18"/>
          <w:szCs w:val="18"/>
        </w:rPr>
      </w:pPr>
    </w:p>
    <w:p w:rsidR="0021093B" w:rsidRDefault="0021093B">
      <w:pPr>
        <w:ind w:left="426" w:hanging="426"/>
        <w:jc w:val="both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I</w:t>
      </w:r>
      <w:r w:rsidR="007B386C">
        <w:rPr>
          <w:color w:val="000000"/>
          <w:sz w:val="18"/>
          <w:szCs w:val="18"/>
        </w:rPr>
        <w:t>V</w:t>
      </w:r>
      <w:r>
        <w:rPr>
          <w:color w:val="000000"/>
          <w:sz w:val="18"/>
          <w:szCs w:val="18"/>
        </w:rPr>
        <w:t>.3</w:t>
      </w:r>
      <w:r>
        <w:rPr>
          <w:color w:val="000000"/>
          <w:sz w:val="18"/>
          <w:szCs w:val="18"/>
        </w:rPr>
        <w:tab/>
        <w:t>Tato</w:t>
      </w:r>
      <w:proofErr w:type="gramEnd"/>
      <w:r>
        <w:rPr>
          <w:color w:val="000000"/>
          <w:sz w:val="18"/>
          <w:szCs w:val="18"/>
        </w:rPr>
        <w:t xml:space="preserve"> Smlouva je vyhotovena ve dvou stejnopisech, z nichž každý má povahu originálu a z nichž každá ze Smluvních stran obdrží po jednom vyhotovení.</w:t>
      </w:r>
    </w:p>
    <w:p w:rsidR="0021093B" w:rsidRDefault="0021093B">
      <w:pPr>
        <w:jc w:val="both"/>
        <w:rPr>
          <w:sz w:val="18"/>
          <w:szCs w:val="18"/>
        </w:rPr>
      </w:pPr>
    </w:p>
    <w:p w:rsidR="0021093B" w:rsidRDefault="0021093B">
      <w:pPr>
        <w:jc w:val="both"/>
        <w:rPr>
          <w:sz w:val="18"/>
          <w:szCs w:val="18"/>
        </w:rPr>
      </w:pPr>
    </w:p>
    <w:p w:rsidR="0021093B" w:rsidRDefault="0021093B">
      <w:pPr>
        <w:jc w:val="both"/>
        <w:rPr>
          <w:sz w:val="18"/>
          <w:szCs w:val="18"/>
        </w:rPr>
      </w:pPr>
    </w:p>
    <w:p w:rsidR="0021093B" w:rsidRDefault="0021093B">
      <w:pPr>
        <w:ind w:right="454"/>
        <w:jc w:val="both"/>
        <w:rPr>
          <w:sz w:val="18"/>
          <w:szCs w:val="18"/>
        </w:rPr>
      </w:pPr>
      <w:r>
        <w:rPr>
          <w:sz w:val="18"/>
          <w:szCs w:val="18"/>
        </w:rPr>
        <w:t>V</w:t>
      </w:r>
      <w:r w:rsidR="0095458F">
        <w:rPr>
          <w:sz w:val="18"/>
          <w:szCs w:val="18"/>
        </w:rPr>
        <w:t> Praze</w:t>
      </w:r>
      <w:r>
        <w:rPr>
          <w:sz w:val="18"/>
          <w:szCs w:val="18"/>
        </w:rPr>
        <w:t xml:space="preserve">        </w:t>
      </w:r>
    </w:p>
    <w:p w:rsidR="0021093B" w:rsidRDefault="0021093B">
      <w:pPr>
        <w:tabs>
          <w:tab w:val="left" w:pos="5103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21093B" w:rsidRDefault="0021093B">
      <w:pPr>
        <w:tabs>
          <w:tab w:val="left" w:pos="4820"/>
        </w:tabs>
        <w:rPr>
          <w:sz w:val="18"/>
          <w:szCs w:val="18"/>
        </w:rPr>
      </w:pPr>
    </w:p>
    <w:p w:rsidR="0021093B" w:rsidRDefault="0021093B">
      <w:pPr>
        <w:tabs>
          <w:tab w:val="left" w:pos="4820"/>
        </w:tabs>
        <w:rPr>
          <w:sz w:val="18"/>
          <w:szCs w:val="18"/>
        </w:rPr>
      </w:pPr>
    </w:p>
    <w:p w:rsidR="0021093B" w:rsidRDefault="0021093B">
      <w:pPr>
        <w:tabs>
          <w:tab w:val="left" w:pos="4820"/>
        </w:tabs>
        <w:rPr>
          <w:b/>
          <w:sz w:val="18"/>
          <w:szCs w:val="18"/>
        </w:rPr>
      </w:pPr>
    </w:p>
    <w:p w:rsidR="0021093B" w:rsidRDefault="0021093B">
      <w:pPr>
        <w:tabs>
          <w:tab w:val="left" w:pos="4820"/>
        </w:tabs>
        <w:rPr>
          <w:sz w:val="18"/>
          <w:szCs w:val="18"/>
        </w:rPr>
      </w:pPr>
    </w:p>
    <w:p w:rsidR="0021093B" w:rsidRDefault="0021093B">
      <w:pPr>
        <w:tabs>
          <w:tab w:val="left" w:pos="4820"/>
        </w:tabs>
        <w:rPr>
          <w:sz w:val="18"/>
          <w:szCs w:val="18"/>
        </w:rPr>
      </w:pPr>
      <w:r>
        <w:rPr>
          <w:sz w:val="18"/>
          <w:szCs w:val="18"/>
        </w:rPr>
        <w:t>________________________________________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________________________________________</w:t>
      </w:r>
    </w:p>
    <w:p w:rsidR="0021093B" w:rsidRDefault="00A33AAD">
      <w:pPr>
        <w:tabs>
          <w:tab w:val="left" w:pos="4820"/>
        </w:tabs>
        <w:rPr>
          <w:sz w:val="18"/>
          <w:szCs w:val="18"/>
        </w:rPr>
      </w:pPr>
      <w:r>
        <w:rPr>
          <w:bCs/>
          <w:sz w:val="18"/>
          <w:szCs w:val="18"/>
        </w:rPr>
        <w:t>Ing. Jane Mlčák, MBA</w:t>
      </w:r>
      <w:r w:rsidR="0021093B">
        <w:rPr>
          <w:sz w:val="18"/>
          <w:szCs w:val="18"/>
        </w:rPr>
        <w:tab/>
      </w:r>
      <w:r w:rsidR="00BB330C">
        <w:rPr>
          <w:sz w:val="18"/>
          <w:szCs w:val="18"/>
        </w:rPr>
        <w:tab/>
      </w:r>
      <w:r w:rsidR="0021093B">
        <w:rPr>
          <w:sz w:val="18"/>
          <w:szCs w:val="18"/>
        </w:rPr>
        <w:t xml:space="preserve">Ing. </w:t>
      </w:r>
      <w:r w:rsidR="009D4DBA">
        <w:rPr>
          <w:sz w:val="18"/>
          <w:szCs w:val="18"/>
        </w:rPr>
        <w:t xml:space="preserve">Sylva </w:t>
      </w:r>
      <w:proofErr w:type="spellStart"/>
      <w:r w:rsidR="009D4DBA">
        <w:rPr>
          <w:sz w:val="18"/>
          <w:szCs w:val="18"/>
        </w:rPr>
        <w:t>Floríková</w:t>
      </w:r>
      <w:proofErr w:type="spellEnd"/>
    </w:p>
    <w:p w:rsidR="0021093B" w:rsidRDefault="002A7004">
      <w:pPr>
        <w:tabs>
          <w:tab w:val="left" w:pos="4820"/>
        </w:tabs>
        <w:rPr>
          <w:sz w:val="18"/>
          <w:szCs w:val="18"/>
        </w:rPr>
      </w:pPr>
      <w:r>
        <w:rPr>
          <w:bCs/>
          <w:sz w:val="18"/>
          <w:szCs w:val="18"/>
        </w:rPr>
        <w:t xml:space="preserve">ředitel  </w:t>
      </w:r>
      <w:r w:rsidR="009D4DBA">
        <w:rPr>
          <w:sz w:val="18"/>
          <w:szCs w:val="18"/>
        </w:rPr>
        <w:tab/>
      </w:r>
      <w:r w:rsidR="009D4DBA">
        <w:rPr>
          <w:sz w:val="18"/>
          <w:szCs w:val="18"/>
        </w:rPr>
        <w:tab/>
        <w:t>předsedkyně</w:t>
      </w:r>
      <w:r w:rsidR="0021093B">
        <w:rPr>
          <w:sz w:val="18"/>
          <w:szCs w:val="18"/>
        </w:rPr>
        <w:t xml:space="preserve"> správní rady</w:t>
      </w:r>
    </w:p>
    <w:p w:rsidR="0021093B" w:rsidRDefault="00A33AAD">
      <w:pPr>
        <w:tabs>
          <w:tab w:val="left" w:pos="4820"/>
        </w:tabs>
        <w:rPr>
          <w:sz w:val="18"/>
          <w:szCs w:val="18"/>
        </w:rPr>
      </w:pPr>
      <w:r>
        <w:rPr>
          <w:sz w:val="18"/>
          <w:szCs w:val="18"/>
        </w:rPr>
        <w:t xml:space="preserve">Nemocnice Pelhřimov, </w:t>
      </w:r>
      <w:proofErr w:type="spellStart"/>
      <w:proofErr w:type="gramStart"/>
      <w:r>
        <w:rPr>
          <w:sz w:val="18"/>
          <w:szCs w:val="18"/>
        </w:rPr>
        <w:t>p.o</w:t>
      </w:r>
      <w:proofErr w:type="spellEnd"/>
      <w:r>
        <w:rPr>
          <w:sz w:val="18"/>
          <w:szCs w:val="18"/>
        </w:rPr>
        <w:t>.</w:t>
      </w:r>
      <w:proofErr w:type="gramEnd"/>
      <w:r w:rsidR="0021093B">
        <w:rPr>
          <w:sz w:val="18"/>
          <w:szCs w:val="18"/>
        </w:rPr>
        <w:tab/>
      </w:r>
      <w:r w:rsidR="0021093B">
        <w:rPr>
          <w:sz w:val="18"/>
          <w:szCs w:val="18"/>
        </w:rPr>
        <w:tab/>
        <w:t xml:space="preserve">Nadace </w:t>
      </w:r>
      <w:r w:rsidR="00CF6D98" w:rsidRPr="00CF6D98">
        <w:rPr>
          <w:sz w:val="18"/>
          <w:szCs w:val="18"/>
        </w:rPr>
        <w:t>Komerční banky</w:t>
      </w:r>
      <w:r w:rsidR="0021093B">
        <w:rPr>
          <w:sz w:val="18"/>
          <w:szCs w:val="18"/>
        </w:rPr>
        <w:t>, a.s. – Jistota</w:t>
      </w:r>
    </w:p>
    <w:p w:rsidR="0021093B" w:rsidRDefault="0021093B">
      <w:pPr>
        <w:tabs>
          <w:tab w:val="left" w:pos="4820"/>
        </w:tabs>
        <w:rPr>
          <w:sz w:val="18"/>
          <w:szCs w:val="18"/>
        </w:rPr>
      </w:pPr>
      <w:r>
        <w:rPr>
          <w:sz w:val="18"/>
          <w:szCs w:val="18"/>
        </w:rPr>
        <w:t> </w:t>
      </w:r>
      <w:r>
        <w:rPr>
          <w:sz w:val="18"/>
          <w:szCs w:val="18"/>
        </w:rPr>
        <w:tab/>
      </w:r>
    </w:p>
    <w:p w:rsidR="0021093B" w:rsidRDefault="0021093B">
      <w:pPr>
        <w:tabs>
          <w:tab w:val="left" w:pos="4820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21093B" w:rsidRDefault="0021093B">
      <w:pPr>
        <w:tabs>
          <w:tab w:val="left" w:pos="4820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21093B" w:rsidRDefault="0021093B">
      <w:pPr>
        <w:tabs>
          <w:tab w:val="left" w:pos="4820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21093B" w:rsidRDefault="0021093B">
      <w:pPr>
        <w:tabs>
          <w:tab w:val="left" w:pos="4820"/>
        </w:tabs>
        <w:rPr>
          <w:sz w:val="18"/>
          <w:szCs w:val="18"/>
        </w:rPr>
      </w:pPr>
    </w:p>
    <w:p w:rsidR="0021093B" w:rsidRDefault="0021093B">
      <w:pPr>
        <w:tabs>
          <w:tab w:val="left" w:pos="4820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________________________________________</w:t>
      </w:r>
    </w:p>
    <w:p w:rsidR="0021093B" w:rsidRDefault="0021093B">
      <w:pPr>
        <w:tabs>
          <w:tab w:val="left" w:pos="4820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Ing. </w:t>
      </w:r>
      <w:r w:rsidR="009E3771">
        <w:rPr>
          <w:sz w:val="18"/>
          <w:szCs w:val="18"/>
        </w:rPr>
        <w:t xml:space="preserve">Jiří </w:t>
      </w:r>
      <w:proofErr w:type="spellStart"/>
      <w:r w:rsidR="009E3771">
        <w:rPr>
          <w:sz w:val="18"/>
          <w:szCs w:val="18"/>
        </w:rPr>
        <w:t>Mifek</w:t>
      </w:r>
      <w:proofErr w:type="spellEnd"/>
    </w:p>
    <w:p w:rsidR="0021093B" w:rsidRDefault="0021093B">
      <w:pPr>
        <w:tabs>
          <w:tab w:val="left" w:pos="4820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člen správní rady</w:t>
      </w:r>
    </w:p>
    <w:p w:rsidR="0021093B" w:rsidRDefault="0021093B">
      <w:pPr>
        <w:tabs>
          <w:tab w:val="left" w:pos="4820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Nadace </w:t>
      </w:r>
      <w:r w:rsidR="00CF6D98" w:rsidRPr="00CF6D98">
        <w:rPr>
          <w:sz w:val="18"/>
          <w:szCs w:val="18"/>
        </w:rPr>
        <w:t>Komerční banky</w:t>
      </w:r>
      <w:r>
        <w:rPr>
          <w:sz w:val="18"/>
          <w:szCs w:val="18"/>
        </w:rPr>
        <w:t>, a.s. - Jistota</w:t>
      </w:r>
    </w:p>
    <w:p w:rsidR="0021093B" w:rsidRDefault="0021093B" w:rsidP="009F522F">
      <w:pPr>
        <w:tabs>
          <w:tab w:val="left" w:pos="4820"/>
        </w:tabs>
        <w:rPr>
          <w:sz w:val="18"/>
          <w:szCs w:val="18"/>
        </w:rPr>
      </w:pPr>
    </w:p>
    <w:p w:rsidR="00492E77" w:rsidRDefault="00492E77">
      <w:pPr>
        <w:autoSpaceDE/>
        <w:autoSpaceDN/>
        <w:adjustRightInd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492E77" w:rsidRPr="00492E77" w:rsidRDefault="00492E77" w:rsidP="00492E77">
      <w:pPr>
        <w:autoSpaceDE/>
        <w:autoSpaceDN/>
        <w:adjustRightInd/>
        <w:jc w:val="center"/>
        <w:rPr>
          <w:b/>
          <w:sz w:val="22"/>
          <w:szCs w:val="22"/>
        </w:rPr>
      </w:pPr>
      <w:r w:rsidRPr="00492E77">
        <w:rPr>
          <w:b/>
          <w:sz w:val="22"/>
          <w:szCs w:val="22"/>
        </w:rPr>
        <w:lastRenderedPageBreak/>
        <w:t>Schvalovací doložka</w:t>
      </w:r>
    </w:p>
    <w:p w:rsidR="00492E77" w:rsidRPr="00492E77" w:rsidRDefault="00492E77" w:rsidP="00492E77">
      <w:pPr>
        <w:autoSpaceDE/>
        <w:autoSpaceDN/>
        <w:adjustRightInd/>
        <w:jc w:val="center"/>
        <w:rPr>
          <w:sz w:val="22"/>
          <w:szCs w:val="22"/>
        </w:rPr>
      </w:pPr>
      <w:r w:rsidRPr="00492E77">
        <w:rPr>
          <w:sz w:val="22"/>
          <w:szCs w:val="22"/>
        </w:rPr>
        <w:t>dle § 39b zákona č. 250/2000 Sb., o rozpočtových pravidlech územních rozpočtů, ve znění pozdějších předpisů</w:t>
      </w:r>
    </w:p>
    <w:p w:rsidR="00492E77" w:rsidRPr="00492E77" w:rsidRDefault="00492E77" w:rsidP="00492E77">
      <w:pPr>
        <w:autoSpaceDE/>
        <w:autoSpaceDN/>
        <w:adjustRightInd/>
        <w:rPr>
          <w:sz w:val="22"/>
          <w:szCs w:val="22"/>
        </w:rPr>
      </w:pPr>
    </w:p>
    <w:p w:rsidR="00492E77" w:rsidRPr="00492E77" w:rsidRDefault="00492E77" w:rsidP="00492E77">
      <w:pPr>
        <w:autoSpaceDE/>
        <w:autoSpaceDN/>
        <w:adjustRightInd/>
        <w:rPr>
          <w:sz w:val="22"/>
          <w:szCs w:val="22"/>
        </w:rPr>
      </w:pPr>
    </w:p>
    <w:p w:rsidR="00492E77" w:rsidRPr="00492E77" w:rsidRDefault="00492E77" w:rsidP="00492E77">
      <w:pPr>
        <w:autoSpaceDE/>
        <w:autoSpaceDN/>
        <w:adjustRightInd/>
        <w:jc w:val="both"/>
        <w:rPr>
          <w:sz w:val="22"/>
          <w:szCs w:val="22"/>
        </w:rPr>
      </w:pPr>
      <w:r w:rsidRPr="00492E77">
        <w:rPr>
          <w:sz w:val="22"/>
          <w:szCs w:val="22"/>
        </w:rPr>
        <w:t xml:space="preserve">S uzavřením této smlouvy mezi </w:t>
      </w:r>
      <w:r>
        <w:rPr>
          <w:sz w:val="22"/>
          <w:szCs w:val="22"/>
        </w:rPr>
        <w:t>Nadací Komerční bank</w:t>
      </w:r>
      <w:r w:rsidR="00FB60A0">
        <w:rPr>
          <w:sz w:val="22"/>
          <w:szCs w:val="22"/>
        </w:rPr>
        <w:t>y, a.s.</w:t>
      </w:r>
      <w:r>
        <w:rPr>
          <w:sz w:val="22"/>
          <w:szCs w:val="22"/>
        </w:rPr>
        <w:t xml:space="preserve"> – Jistota</w:t>
      </w:r>
      <w:r w:rsidRPr="00492E77">
        <w:rPr>
          <w:sz w:val="22"/>
          <w:szCs w:val="22"/>
        </w:rPr>
        <w:t xml:space="preserve"> a </w:t>
      </w:r>
      <w:r>
        <w:rPr>
          <w:sz w:val="22"/>
          <w:szCs w:val="22"/>
        </w:rPr>
        <w:t>Nemocnicí Pelhřimov,</w:t>
      </w:r>
      <w:r w:rsidRPr="00492E77">
        <w:rPr>
          <w:sz w:val="22"/>
          <w:szCs w:val="22"/>
        </w:rPr>
        <w:t xml:space="preserve"> příspěvkovou organizací, jejímž předmětem je poskytnutí </w:t>
      </w:r>
      <w:r>
        <w:rPr>
          <w:sz w:val="22"/>
          <w:szCs w:val="22"/>
        </w:rPr>
        <w:t>peněžního účelového daru</w:t>
      </w:r>
      <w:r w:rsidRPr="00492E77">
        <w:rPr>
          <w:sz w:val="22"/>
          <w:szCs w:val="22"/>
        </w:rPr>
        <w:t xml:space="preserve"> </w:t>
      </w:r>
      <w:r w:rsidR="00FB60A0">
        <w:rPr>
          <w:sz w:val="22"/>
          <w:szCs w:val="22"/>
        </w:rPr>
        <w:t>určeného na s</w:t>
      </w:r>
      <w:r w:rsidR="00FB60A0" w:rsidRPr="00FB60A0">
        <w:rPr>
          <w:sz w:val="22"/>
          <w:szCs w:val="22"/>
        </w:rPr>
        <w:t xml:space="preserve">ervis/opravy </w:t>
      </w:r>
      <w:proofErr w:type="spellStart"/>
      <w:r w:rsidR="00FB60A0" w:rsidRPr="00FB60A0">
        <w:rPr>
          <w:sz w:val="22"/>
          <w:szCs w:val="22"/>
        </w:rPr>
        <w:t>babyboxu</w:t>
      </w:r>
      <w:proofErr w:type="spellEnd"/>
      <w:r w:rsidR="00FB60A0" w:rsidRPr="00FB60A0">
        <w:rPr>
          <w:sz w:val="22"/>
          <w:szCs w:val="22"/>
        </w:rPr>
        <w:t xml:space="preserve"> umístěného v</w:t>
      </w:r>
      <w:r w:rsidR="00FB60A0">
        <w:rPr>
          <w:sz w:val="22"/>
          <w:szCs w:val="22"/>
        </w:rPr>
        <w:t> </w:t>
      </w:r>
      <w:r w:rsidR="00FB60A0" w:rsidRPr="00FB60A0">
        <w:rPr>
          <w:sz w:val="22"/>
          <w:szCs w:val="22"/>
        </w:rPr>
        <w:t>areálu</w:t>
      </w:r>
      <w:r w:rsidR="00FB60A0">
        <w:rPr>
          <w:sz w:val="22"/>
          <w:szCs w:val="22"/>
        </w:rPr>
        <w:t xml:space="preserve"> Nemocnice Pelhřimov, příspěvkové organizace,</w:t>
      </w:r>
      <w:r w:rsidR="00FB60A0" w:rsidRPr="00FB60A0">
        <w:rPr>
          <w:sz w:val="22"/>
          <w:szCs w:val="22"/>
        </w:rPr>
        <w:t xml:space="preserve"> </w:t>
      </w:r>
      <w:r w:rsidRPr="00492E77">
        <w:rPr>
          <w:sz w:val="22"/>
          <w:szCs w:val="22"/>
        </w:rPr>
        <w:t xml:space="preserve">v celkové hodnotě </w:t>
      </w:r>
      <w:r w:rsidR="00FB60A0">
        <w:rPr>
          <w:sz w:val="22"/>
          <w:szCs w:val="22"/>
        </w:rPr>
        <w:t>nepřesahující 25 000 Kč</w:t>
      </w:r>
      <w:r w:rsidRPr="00492E77">
        <w:rPr>
          <w:sz w:val="22"/>
          <w:szCs w:val="22"/>
        </w:rPr>
        <w:t xml:space="preserve"> vyslovil souhlas Kraj Vysočina, a to usnesením Rady Kraje Vysočina na zasedání dne </w:t>
      </w:r>
      <w:r w:rsidR="00FB60A0">
        <w:rPr>
          <w:sz w:val="22"/>
          <w:szCs w:val="22"/>
        </w:rPr>
        <w:t>17</w:t>
      </w:r>
      <w:r w:rsidRPr="00492E77">
        <w:rPr>
          <w:sz w:val="22"/>
          <w:szCs w:val="22"/>
        </w:rPr>
        <w:t xml:space="preserve">. </w:t>
      </w:r>
      <w:r w:rsidR="00FB60A0">
        <w:rPr>
          <w:sz w:val="22"/>
          <w:szCs w:val="22"/>
        </w:rPr>
        <w:t>6</w:t>
      </w:r>
      <w:r w:rsidRPr="00492E77">
        <w:rPr>
          <w:sz w:val="22"/>
          <w:szCs w:val="22"/>
        </w:rPr>
        <w:t>. 2014, č. …</w:t>
      </w:r>
      <w:proofErr w:type="gramStart"/>
      <w:r w:rsidRPr="00492E77">
        <w:rPr>
          <w:sz w:val="22"/>
          <w:szCs w:val="22"/>
        </w:rPr>
        <w:t>…../</w:t>
      </w:r>
      <w:r w:rsidR="00FB60A0">
        <w:rPr>
          <w:sz w:val="22"/>
          <w:szCs w:val="22"/>
        </w:rPr>
        <w:t>21</w:t>
      </w:r>
      <w:r w:rsidRPr="00492E77">
        <w:rPr>
          <w:sz w:val="22"/>
          <w:szCs w:val="22"/>
        </w:rPr>
        <w:t>/2014/RK</w:t>
      </w:r>
      <w:proofErr w:type="gramEnd"/>
      <w:r w:rsidRPr="00492E77">
        <w:rPr>
          <w:sz w:val="22"/>
          <w:szCs w:val="22"/>
        </w:rPr>
        <w:t xml:space="preserve">. </w:t>
      </w:r>
    </w:p>
    <w:p w:rsidR="00492E77" w:rsidRPr="00492E77" w:rsidRDefault="00492E77" w:rsidP="00492E77">
      <w:p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492E77" w:rsidRPr="009F522F" w:rsidRDefault="00492E77" w:rsidP="009F522F">
      <w:pPr>
        <w:tabs>
          <w:tab w:val="left" w:pos="4820"/>
        </w:tabs>
        <w:rPr>
          <w:sz w:val="18"/>
          <w:szCs w:val="18"/>
        </w:rPr>
      </w:pPr>
    </w:p>
    <w:sectPr w:rsidR="00492E77" w:rsidRPr="009F522F" w:rsidSect="009F52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1" w:h="16834"/>
      <w:pgMar w:top="667" w:right="1134" w:bottom="794" w:left="1701" w:header="699" w:footer="709" w:gutter="0"/>
      <w:paperSrc w:first="15" w:other="15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452" w:rsidRDefault="00BF5452">
      <w:r>
        <w:separator/>
      </w:r>
    </w:p>
  </w:endnote>
  <w:endnote w:type="continuationSeparator" w:id="0">
    <w:p w:rsidR="00BF5452" w:rsidRDefault="00BF5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22F" w:rsidRDefault="009F522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01"/>
      <w:gridCol w:w="4038"/>
    </w:tblGrid>
    <w:tr w:rsidR="00263498">
      <w:tc>
        <w:tcPr>
          <w:tcW w:w="5601" w:type="dxa"/>
          <w:tcBorders>
            <w:top w:val="nil"/>
            <w:left w:val="nil"/>
            <w:bottom w:val="nil"/>
            <w:right w:val="nil"/>
          </w:tcBorders>
        </w:tcPr>
        <w:p w:rsidR="00263498" w:rsidRDefault="00263498">
          <w:pPr>
            <w:pStyle w:val="kbFixedtext"/>
            <w:spacing w:before="100"/>
          </w:pPr>
          <w:r>
            <w:t xml:space="preserve">Nadace Komerční banky, a.s. - Jistota, se sídlem: </w:t>
          </w:r>
        </w:p>
        <w:p w:rsidR="00263498" w:rsidRDefault="00263498">
          <w:pPr>
            <w:pStyle w:val="kbFixedtext"/>
          </w:pPr>
          <w:r>
            <w:t>Praha 1, Na Příkopě 33, PSČ 114 07, IČ</w:t>
          </w:r>
          <w:r w:rsidR="00DA1C0E">
            <w:t>O</w:t>
          </w:r>
          <w:r>
            <w:t>: 60458933</w:t>
          </w:r>
        </w:p>
        <w:p w:rsidR="00263498" w:rsidRDefault="00263498">
          <w:pPr>
            <w:pStyle w:val="kbRegistration"/>
          </w:pPr>
          <w:r>
            <w:t>ZAPSANÁ V NADAČNÍM REJSTŘÍKU VEDENÉM MĚSTSKÝm SOUDEM V PRAZE, ODDÍL N, VLOŽKA 39</w:t>
          </w:r>
        </w:p>
      </w:tc>
      <w:tc>
        <w:tcPr>
          <w:tcW w:w="4038" w:type="dxa"/>
          <w:tcBorders>
            <w:top w:val="nil"/>
            <w:left w:val="nil"/>
            <w:bottom w:val="nil"/>
            <w:right w:val="nil"/>
          </w:tcBorders>
        </w:tcPr>
        <w:p w:rsidR="00263498" w:rsidRDefault="00263498">
          <w:pPr>
            <w:pStyle w:val="kbFixedtext"/>
            <w:spacing w:before="100"/>
            <w:jc w:val="right"/>
            <w:rPr>
              <w:rStyle w:val="slostrnky"/>
            </w:rPr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F95CC6">
            <w:rPr>
              <w:rStyle w:val="slostrnky"/>
              <w:noProof/>
            </w:rPr>
            <w:t>3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F95CC6">
            <w:rPr>
              <w:rStyle w:val="slostrnky"/>
              <w:noProof/>
            </w:rPr>
            <w:t>3</w:t>
          </w:r>
          <w:r>
            <w:rPr>
              <w:rStyle w:val="slostrnky"/>
            </w:rPr>
            <w:fldChar w:fldCharType="end"/>
          </w:r>
        </w:p>
        <w:p w:rsidR="00263498" w:rsidRDefault="00263498">
          <w:pPr>
            <w:pStyle w:val="Registration"/>
            <w:jc w:val="right"/>
          </w:pPr>
        </w:p>
      </w:tc>
    </w:tr>
  </w:tbl>
  <w:p w:rsidR="00263498" w:rsidRDefault="0026349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22F" w:rsidRDefault="009F522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452" w:rsidRDefault="00BF5452">
      <w:r>
        <w:separator/>
      </w:r>
    </w:p>
  </w:footnote>
  <w:footnote w:type="continuationSeparator" w:id="0">
    <w:p w:rsidR="00BF5452" w:rsidRDefault="00BF54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22F" w:rsidRDefault="009F522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706" w:type="dxa"/>
      <w:tblInd w:w="-1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761"/>
      <w:gridCol w:w="6945"/>
    </w:tblGrid>
    <w:tr w:rsidR="00263498">
      <w:tc>
        <w:tcPr>
          <w:tcW w:w="6761" w:type="dxa"/>
          <w:tcBorders>
            <w:top w:val="nil"/>
            <w:left w:val="nil"/>
            <w:bottom w:val="nil"/>
            <w:right w:val="nil"/>
          </w:tcBorders>
        </w:tcPr>
        <w:p w:rsidR="00263498" w:rsidRDefault="00263498">
          <w:pPr>
            <w:ind w:left="-539"/>
          </w:pPr>
          <w:r>
            <w:t xml:space="preserve"> </w:t>
          </w:r>
        </w:p>
        <w:p w:rsidR="00263498" w:rsidRDefault="00263498"/>
        <w:p w:rsidR="00263498" w:rsidRDefault="00263498">
          <w:pPr>
            <w:tabs>
              <w:tab w:val="left" w:pos="1016"/>
            </w:tabs>
          </w:pPr>
          <w:r>
            <w:t xml:space="preserve">    </w:t>
          </w:r>
          <w:r w:rsidR="00A33AAD">
            <w:rPr>
              <w:b/>
              <w:noProof/>
              <w:sz w:val="18"/>
              <w:szCs w:val="18"/>
            </w:rPr>
            <w:drawing>
              <wp:inline distT="0" distB="0" distL="0" distR="0" wp14:anchorId="45AE94A3" wp14:editId="558916F7">
                <wp:extent cx="2124075" cy="657225"/>
                <wp:effectExtent l="19050" t="0" r="9525" b="0"/>
                <wp:docPr id="4" name="obrázek 1" descr="闒粀펤闀粀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闒粀펤闀粀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4075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  <w:tcBorders>
            <w:top w:val="nil"/>
            <w:left w:val="nil"/>
            <w:bottom w:val="nil"/>
            <w:right w:val="nil"/>
          </w:tcBorders>
        </w:tcPr>
        <w:p w:rsidR="00263498" w:rsidRDefault="00263498">
          <w:pPr>
            <w:pStyle w:val="Nadpis1"/>
            <w:rPr>
              <w:b w:val="0"/>
              <w:bCs w:val="0"/>
              <w:i/>
              <w:iCs/>
              <w:sz w:val="22"/>
              <w:szCs w:val="22"/>
            </w:rPr>
          </w:pPr>
        </w:p>
        <w:p w:rsidR="00263498" w:rsidRDefault="00263498">
          <w:pPr>
            <w:rPr>
              <w:i/>
              <w:iCs/>
              <w:sz w:val="22"/>
              <w:szCs w:val="22"/>
            </w:rPr>
          </w:pPr>
        </w:p>
        <w:p w:rsidR="00263498" w:rsidRDefault="00263498">
          <w:pPr>
            <w:pStyle w:val="kbDocumentnameextrenal"/>
            <w:tabs>
              <w:tab w:val="clear" w:pos="6167"/>
              <w:tab w:val="right" w:pos="5741"/>
            </w:tabs>
            <w:spacing w:before="0"/>
          </w:pPr>
          <w:r>
            <w:t xml:space="preserve">Smlouva darovací </w:t>
          </w:r>
        </w:p>
      </w:tc>
    </w:tr>
  </w:tbl>
  <w:p w:rsidR="00263498" w:rsidRDefault="00263498">
    <w:pPr>
      <w:pStyle w:val="Zhlav"/>
    </w:pPr>
    <w:r>
      <w:rPr>
        <w:b/>
        <w:sz w:val="18"/>
        <w:szCs w:val="18"/>
      </w:rPr>
      <w:t xml:space="preserve">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22F" w:rsidRDefault="009F522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826EB"/>
    <w:multiLevelType w:val="hybridMultilevel"/>
    <w:tmpl w:val="E702DFA4"/>
    <w:lvl w:ilvl="0" w:tplc="B8983782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0EA73D4B"/>
    <w:multiLevelType w:val="singleLevel"/>
    <w:tmpl w:val="70E47B48"/>
    <w:lvl w:ilvl="0">
      <w:start w:val="1"/>
      <w:numFmt w:val="decimal"/>
      <w:lvlText w:val="6.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">
    <w:nsid w:val="2F5E61F0"/>
    <w:multiLevelType w:val="multilevel"/>
    <w:tmpl w:val="E2E6236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1386E39"/>
    <w:multiLevelType w:val="singleLevel"/>
    <w:tmpl w:val="B986E4F2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  <w:rPr>
        <w:rFonts w:ascii="Times New Roman" w:hAnsi="Times New Roman" w:cs="Times New Roman" w:hint="default"/>
      </w:rPr>
    </w:lvl>
  </w:abstractNum>
  <w:abstractNum w:abstractNumId="4">
    <w:nsid w:val="393F54C9"/>
    <w:multiLevelType w:val="singleLevel"/>
    <w:tmpl w:val="BC52231A"/>
    <w:lvl w:ilvl="0">
      <w:start w:val="1"/>
      <w:numFmt w:val="decimal"/>
      <w:lvlText w:val="5.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5">
    <w:nsid w:val="6A8E292F"/>
    <w:multiLevelType w:val="singleLevel"/>
    <w:tmpl w:val="4C745138"/>
    <w:lvl w:ilvl="0">
      <w:start w:val="1"/>
      <w:numFmt w:val="decimal"/>
      <w:lvlText w:val="7.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DBE"/>
    <w:rsid w:val="00013A2E"/>
    <w:rsid w:val="00021106"/>
    <w:rsid w:val="00033E7D"/>
    <w:rsid w:val="00037EFA"/>
    <w:rsid w:val="000619D4"/>
    <w:rsid w:val="00065A0D"/>
    <w:rsid w:val="00067C2C"/>
    <w:rsid w:val="0008243B"/>
    <w:rsid w:val="000C6624"/>
    <w:rsid w:val="000C7D2E"/>
    <w:rsid w:val="000D139D"/>
    <w:rsid w:val="000F1964"/>
    <w:rsid w:val="001001FF"/>
    <w:rsid w:val="00126899"/>
    <w:rsid w:val="001344A8"/>
    <w:rsid w:val="001428B4"/>
    <w:rsid w:val="00165D35"/>
    <w:rsid w:val="00166B03"/>
    <w:rsid w:val="00184DF4"/>
    <w:rsid w:val="001C7F44"/>
    <w:rsid w:val="001D7D3B"/>
    <w:rsid w:val="001E55F0"/>
    <w:rsid w:val="001F68FF"/>
    <w:rsid w:val="0021093B"/>
    <w:rsid w:val="00220EA0"/>
    <w:rsid w:val="00222DBE"/>
    <w:rsid w:val="0025368B"/>
    <w:rsid w:val="00257AB0"/>
    <w:rsid w:val="00263498"/>
    <w:rsid w:val="00266D6C"/>
    <w:rsid w:val="002A7004"/>
    <w:rsid w:val="002C2085"/>
    <w:rsid w:val="002C417B"/>
    <w:rsid w:val="002C6F5E"/>
    <w:rsid w:val="002E3045"/>
    <w:rsid w:val="00325B67"/>
    <w:rsid w:val="003974E2"/>
    <w:rsid w:val="003A396B"/>
    <w:rsid w:val="003B3DA0"/>
    <w:rsid w:val="003B5198"/>
    <w:rsid w:val="003C025C"/>
    <w:rsid w:val="003D0F02"/>
    <w:rsid w:val="003D25E3"/>
    <w:rsid w:val="003E4A09"/>
    <w:rsid w:val="0040368C"/>
    <w:rsid w:val="0040647E"/>
    <w:rsid w:val="00443D54"/>
    <w:rsid w:val="00473DAA"/>
    <w:rsid w:val="00492E77"/>
    <w:rsid w:val="004A346B"/>
    <w:rsid w:val="004E41C4"/>
    <w:rsid w:val="004F2DB5"/>
    <w:rsid w:val="004F78EB"/>
    <w:rsid w:val="005154D4"/>
    <w:rsid w:val="00520768"/>
    <w:rsid w:val="005348E6"/>
    <w:rsid w:val="00586D53"/>
    <w:rsid w:val="0059059F"/>
    <w:rsid w:val="0059684E"/>
    <w:rsid w:val="005A1DD0"/>
    <w:rsid w:val="005A60D9"/>
    <w:rsid w:val="005D5144"/>
    <w:rsid w:val="005F5C9B"/>
    <w:rsid w:val="005F5FE5"/>
    <w:rsid w:val="006076B3"/>
    <w:rsid w:val="00610095"/>
    <w:rsid w:val="006327E5"/>
    <w:rsid w:val="00634D1E"/>
    <w:rsid w:val="00652258"/>
    <w:rsid w:val="006B2871"/>
    <w:rsid w:val="006B3BE0"/>
    <w:rsid w:val="006D4864"/>
    <w:rsid w:val="006E3492"/>
    <w:rsid w:val="006F54F5"/>
    <w:rsid w:val="00727E7E"/>
    <w:rsid w:val="00732A43"/>
    <w:rsid w:val="00746E78"/>
    <w:rsid w:val="00777CCC"/>
    <w:rsid w:val="00782D93"/>
    <w:rsid w:val="007B386C"/>
    <w:rsid w:val="007D725C"/>
    <w:rsid w:val="007E7A36"/>
    <w:rsid w:val="007F03D1"/>
    <w:rsid w:val="00802CB8"/>
    <w:rsid w:val="00811369"/>
    <w:rsid w:val="00812182"/>
    <w:rsid w:val="00814EDE"/>
    <w:rsid w:val="00822EB3"/>
    <w:rsid w:val="00831E48"/>
    <w:rsid w:val="00843581"/>
    <w:rsid w:val="00845A4D"/>
    <w:rsid w:val="00850CEC"/>
    <w:rsid w:val="00853509"/>
    <w:rsid w:val="0085391D"/>
    <w:rsid w:val="0086195D"/>
    <w:rsid w:val="00897A23"/>
    <w:rsid w:val="008C2881"/>
    <w:rsid w:val="008C70DC"/>
    <w:rsid w:val="008D2319"/>
    <w:rsid w:val="008E1BC8"/>
    <w:rsid w:val="008E4126"/>
    <w:rsid w:val="00917A24"/>
    <w:rsid w:val="00953395"/>
    <w:rsid w:val="0095458F"/>
    <w:rsid w:val="0095468C"/>
    <w:rsid w:val="00971FFB"/>
    <w:rsid w:val="009939A4"/>
    <w:rsid w:val="00997168"/>
    <w:rsid w:val="009971A5"/>
    <w:rsid w:val="009B5A4A"/>
    <w:rsid w:val="009D4DBA"/>
    <w:rsid w:val="009E3771"/>
    <w:rsid w:val="009F522F"/>
    <w:rsid w:val="00A0638D"/>
    <w:rsid w:val="00A2542D"/>
    <w:rsid w:val="00A33AAD"/>
    <w:rsid w:val="00A63890"/>
    <w:rsid w:val="00B26942"/>
    <w:rsid w:val="00B27E60"/>
    <w:rsid w:val="00B54152"/>
    <w:rsid w:val="00B6774E"/>
    <w:rsid w:val="00BA60AD"/>
    <w:rsid w:val="00BB330C"/>
    <w:rsid w:val="00BC6C84"/>
    <w:rsid w:val="00BC7A88"/>
    <w:rsid w:val="00BD2A2B"/>
    <w:rsid w:val="00BD5486"/>
    <w:rsid w:val="00BD738B"/>
    <w:rsid w:val="00BE76CD"/>
    <w:rsid w:val="00BF5452"/>
    <w:rsid w:val="00C4334A"/>
    <w:rsid w:val="00C653B0"/>
    <w:rsid w:val="00C95763"/>
    <w:rsid w:val="00CB0A20"/>
    <w:rsid w:val="00CC23E0"/>
    <w:rsid w:val="00CC5678"/>
    <w:rsid w:val="00CC5982"/>
    <w:rsid w:val="00CE424C"/>
    <w:rsid w:val="00CF12C2"/>
    <w:rsid w:val="00CF2C3C"/>
    <w:rsid w:val="00CF6D98"/>
    <w:rsid w:val="00D338C0"/>
    <w:rsid w:val="00D4308B"/>
    <w:rsid w:val="00D74058"/>
    <w:rsid w:val="00D8009D"/>
    <w:rsid w:val="00DA1C0E"/>
    <w:rsid w:val="00DB51B5"/>
    <w:rsid w:val="00DC6A0D"/>
    <w:rsid w:val="00DD05BC"/>
    <w:rsid w:val="00DF2E1E"/>
    <w:rsid w:val="00E11308"/>
    <w:rsid w:val="00E16666"/>
    <w:rsid w:val="00E17FCC"/>
    <w:rsid w:val="00E421C3"/>
    <w:rsid w:val="00E538F9"/>
    <w:rsid w:val="00E624C4"/>
    <w:rsid w:val="00E73CED"/>
    <w:rsid w:val="00E82DB2"/>
    <w:rsid w:val="00E95494"/>
    <w:rsid w:val="00EA5857"/>
    <w:rsid w:val="00EB0395"/>
    <w:rsid w:val="00EC3137"/>
    <w:rsid w:val="00EC330E"/>
    <w:rsid w:val="00EC6BE2"/>
    <w:rsid w:val="00ED3DFA"/>
    <w:rsid w:val="00EF42AC"/>
    <w:rsid w:val="00F320CC"/>
    <w:rsid w:val="00F42623"/>
    <w:rsid w:val="00F82211"/>
    <w:rsid w:val="00F95CC6"/>
    <w:rsid w:val="00FB60A0"/>
    <w:rsid w:val="00FC0B43"/>
    <w:rsid w:val="00FE1AA4"/>
    <w:rsid w:val="00FF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</w:pPr>
    <w:rPr>
      <w:rFonts w:ascii="Arial" w:hAnsi="Arial" w:cs="Arial"/>
    </w:rPr>
  </w:style>
  <w:style w:type="paragraph" w:styleId="Nadpis1">
    <w:name w:val="heading 1"/>
    <w:basedOn w:val="Normln"/>
    <w:qFormat/>
    <w:pPr>
      <w:keepNext/>
      <w:keepLines/>
      <w:spacing w:before="360" w:after="240"/>
      <w:jc w:val="center"/>
      <w:outlineLvl w:val="0"/>
    </w:pPr>
    <w:rPr>
      <w:b/>
      <w:bCs/>
      <w:sz w:val="28"/>
      <w:szCs w:val="28"/>
      <w:u w:val="single"/>
    </w:rPr>
  </w:style>
  <w:style w:type="paragraph" w:styleId="Nadpis2">
    <w:name w:val="heading 2"/>
    <w:basedOn w:val="Normln"/>
    <w:qFormat/>
    <w:pPr>
      <w:keepNext/>
      <w:keepLines/>
      <w:spacing w:before="240" w:after="120"/>
      <w:ind w:left="567"/>
      <w:outlineLvl w:val="1"/>
    </w:pPr>
    <w:rPr>
      <w:b/>
      <w:bCs/>
      <w:sz w:val="26"/>
      <w:szCs w:val="26"/>
    </w:rPr>
  </w:style>
  <w:style w:type="paragraph" w:styleId="Nadpis3">
    <w:name w:val="heading 3"/>
    <w:basedOn w:val="Normln"/>
    <w:qFormat/>
    <w:pPr>
      <w:keepNext/>
      <w:keepLines/>
      <w:spacing w:before="120"/>
      <w:ind w:left="567"/>
      <w:outlineLvl w:val="2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Pr>
      <w:sz w:val="16"/>
      <w:szCs w:val="16"/>
    </w:rPr>
  </w:style>
  <w:style w:type="paragraph" w:styleId="Zhlav">
    <w:name w:val="header"/>
    <w:basedOn w:val="Normln"/>
    <w:pPr>
      <w:tabs>
        <w:tab w:val="center" w:pos="4819"/>
        <w:tab w:val="right" w:pos="9071"/>
      </w:tabs>
    </w:pPr>
  </w:style>
  <w:style w:type="paragraph" w:styleId="Normlnodsazen">
    <w:name w:val="Normal Indent"/>
    <w:basedOn w:val="Normln"/>
    <w:pPr>
      <w:ind w:left="709"/>
    </w:pPr>
  </w:style>
  <w:style w:type="paragraph" w:customStyle="1" w:styleId="Anglitina">
    <w:name w:val="Angliètina"/>
    <w:basedOn w:val="Normln"/>
    <w:rPr>
      <w:lang w:val="en-GB"/>
    </w:rPr>
  </w:style>
  <w:style w:type="paragraph" w:styleId="Textpoznpodarou">
    <w:name w:val="footnote text"/>
    <w:basedOn w:val="Normln"/>
    <w:semiHidden/>
  </w:style>
  <w:style w:type="character" w:styleId="Znakapoznpodarou">
    <w:name w:val="footnote reference"/>
    <w:semiHidden/>
    <w:rPr>
      <w:vertAlign w:val="superscript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Anglicky">
    <w:name w:val="Anglicky"/>
    <w:basedOn w:val="Normln"/>
    <w:pPr>
      <w:overflowPunct w:val="0"/>
      <w:jc w:val="both"/>
      <w:textAlignment w:val="baseline"/>
    </w:pPr>
    <w:rPr>
      <w:i/>
      <w:iCs/>
      <w:color w:val="808080"/>
      <w:sz w:val="18"/>
      <w:szCs w:val="18"/>
      <w:lang w:val="en-GB"/>
    </w:rPr>
  </w:style>
  <w:style w:type="paragraph" w:customStyle="1" w:styleId="kbDocumentnameextrenal">
    <w:name w:val="kb_Document_name_extrenal"/>
    <w:basedOn w:val="Normln"/>
    <w:pPr>
      <w:shd w:val="pct37" w:color="auto" w:fill="auto"/>
      <w:tabs>
        <w:tab w:val="right" w:pos="6167"/>
      </w:tabs>
      <w:overflowPunct w:val="0"/>
      <w:spacing w:before="560"/>
      <w:textAlignment w:val="baseline"/>
    </w:pPr>
    <w:rPr>
      <w:b/>
      <w:bCs/>
      <w:color w:val="FFFFFF"/>
      <w:sz w:val="27"/>
      <w:szCs w:val="27"/>
    </w:rPr>
  </w:style>
  <w:style w:type="character" w:styleId="slostrnky">
    <w:name w:val="page number"/>
    <w:rPr>
      <w:rFonts w:ascii="Arial" w:hAnsi="Arial" w:cs="Arial"/>
      <w:sz w:val="16"/>
      <w:szCs w:val="16"/>
    </w:rPr>
  </w:style>
  <w:style w:type="paragraph" w:customStyle="1" w:styleId="kbFixedtext">
    <w:name w:val="kb_Fixed_text"/>
    <w:basedOn w:val="Normln"/>
    <w:pPr>
      <w:overflowPunct w:val="0"/>
      <w:spacing w:before="40"/>
      <w:textAlignment w:val="baseline"/>
    </w:pPr>
    <w:rPr>
      <w:sz w:val="16"/>
      <w:szCs w:val="16"/>
    </w:rPr>
  </w:style>
  <w:style w:type="paragraph" w:customStyle="1" w:styleId="kbRegistration">
    <w:name w:val="kb_Registration"/>
    <w:basedOn w:val="Normln"/>
    <w:pPr>
      <w:overflowPunct w:val="0"/>
      <w:spacing w:before="40"/>
      <w:textAlignment w:val="baseline"/>
    </w:pPr>
    <w:rPr>
      <w:caps/>
      <w:sz w:val="8"/>
      <w:szCs w:val="8"/>
    </w:rPr>
  </w:style>
  <w:style w:type="paragraph" w:customStyle="1" w:styleId="Registration">
    <w:name w:val="Registration"/>
    <w:basedOn w:val="Normln"/>
    <w:pPr>
      <w:overflowPunct w:val="0"/>
      <w:spacing w:before="40"/>
      <w:textAlignment w:val="baseline"/>
    </w:pPr>
    <w:rPr>
      <w:caps/>
      <w:sz w:val="8"/>
      <w:szCs w:val="8"/>
    </w:rPr>
  </w:style>
  <w:style w:type="character" w:styleId="Odkaznakoment">
    <w:name w:val="annotation reference"/>
    <w:uiPriority w:val="99"/>
    <w:semiHidden/>
    <w:unhideWhenUsed/>
    <w:rsid w:val="0095458F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5458F"/>
    <w:rPr>
      <w:rFonts w:cs="Times New Roman"/>
      <w:sz w:val="24"/>
      <w:szCs w:val="24"/>
    </w:rPr>
  </w:style>
  <w:style w:type="character" w:customStyle="1" w:styleId="TextkomenteChar">
    <w:name w:val="Text komentáře Char"/>
    <w:link w:val="Textkomente"/>
    <w:uiPriority w:val="99"/>
    <w:semiHidden/>
    <w:rsid w:val="0095458F"/>
    <w:rPr>
      <w:rFonts w:ascii="Arial" w:hAnsi="Arial" w:cs="Arial"/>
      <w:sz w:val="24"/>
      <w:szCs w:val="24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5458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5458F"/>
    <w:rPr>
      <w:rFonts w:ascii="Arial" w:hAnsi="Arial" w:cs="Arial"/>
      <w:b/>
      <w:bCs/>
      <w:sz w:val="24"/>
      <w:szCs w:val="24"/>
      <w:lang w:val="cs-CZ" w:eastAsia="cs-CZ"/>
    </w:rPr>
  </w:style>
  <w:style w:type="paragraph" w:customStyle="1" w:styleId="CharCharCharCharCharCharChar">
    <w:name w:val="Char Char Char Char Char Char Char"/>
    <w:basedOn w:val="Normln"/>
    <w:semiHidden/>
    <w:rsid w:val="00811369"/>
    <w:pPr>
      <w:autoSpaceDE/>
      <w:autoSpaceDN/>
      <w:adjustRightInd/>
      <w:spacing w:after="160" w:line="240" w:lineRule="exact"/>
    </w:pPr>
    <w:rPr>
      <w:rFonts w:cs="Times New Roman"/>
      <w:sz w:val="22"/>
      <w:szCs w:val="22"/>
      <w:lang w:val="en-US" w:eastAsia="en-US"/>
    </w:rPr>
  </w:style>
  <w:style w:type="character" w:customStyle="1" w:styleId="platne1">
    <w:name w:val="platne1"/>
    <w:basedOn w:val="Standardnpsmoodstavce"/>
    <w:rsid w:val="00266D6C"/>
    <w:rPr>
      <w:w w:val="120"/>
    </w:rPr>
  </w:style>
  <w:style w:type="paragraph" w:styleId="Revize">
    <w:name w:val="Revision"/>
    <w:hidden/>
    <w:uiPriority w:val="99"/>
    <w:semiHidden/>
    <w:rsid w:val="00DB51B5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</w:pPr>
    <w:rPr>
      <w:rFonts w:ascii="Arial" w:hAnsi="Arial" w:cs="Arial"/>
    </w:rPr>
  </w:style>
  <w:style w:type="paragraph" w:styleId="Nadpis1">
    <w:name w:val="heading 1"/>
    <w:basedOn w:val="Normln"/>
    <w:qFormat/>
    <w:pPr>
      <w:keepNext/>
      <w:keepLines/>
      <w:spacing w:before="360" w:after="240"/>
      <w:jc w:val="center"/>
      <w:outlineLvl w:val="0"/>
    </w:pPr>
    <w:rPr>
      <w:b/>
      <w:bCs/>
      <w:sz w:val="28"/>
      <w:szCs w:val="28"/>
      <w:u w:val="single"/>
    </w:rPr>
  </w:style>
  <w:style w:type="paragraph" w:styleId="Nadpis2">
    <w:name w:val="heading 2"/>
    <w:basedOn w:val="Normln"/>
    <w:qFormat/>
    <w:pPr>
      <w:keepNext/>
      <w:keepLines/>
      <w:spacing w:before="240" w:after="120"/>
      <w:ind w:left="567"/>
      <w:outlineLvl w:val="1"/>
    </w:pPr>
    <w:rPr>
      <w:b/>
      <w:bCs/>
      <w:sz w:val="26"/>
      <w:szCs w:val="26"/>
    </w:rPr>
  </w:style>
  <w:style w:type="paragraph" w:styleId="Nadpis3">
    <w:name w:val="heading 3"/>
    <w:basedOn w:val="Normln"/>
    <w:qFormat/>
    <w:pPr>
      <w:keepNext/>
      <w:keepLines/>
      <w:spacing w:before="120"/>
      <w:ind w:left="567"/>
      <w:outlineLvl w:val="2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Pr>
      <w:sz w:val="16"/>
      <w:szCs w:val="16"/>
    </w:rPr>
  </w:style>
  <w:style w:type="paragraph" w:styleId="Zhlav">
    <w:name w:val="header"/>
    <w:basedOn w:val="Normln"/>
    <w:pPr>
      <w:tabs>
        <w:tab w:val="center" w:pos="4819"/>
        <w:tab w:val="right" w:pos="9071"/>
      </w:tabs>
    </w:pPr>
  </w:style>
  <w:style w:type="paragraph" w:styleId="Normlnodsazen">
    <w:name w:val="Normal Indent"/>
    <w:basedOn w:val="Normln"/>
    <w:pPr>
      <w:ind w:left="709"/>
    </w:pPr>
  </w:style>
  <w:style w:type="paragraph" w:customStyle="1" w:styleId="Anglitina">
    <w:name w:val="Angliètina"/>
    <w:basedOn w:val="Normln"/>
    <w:rPr>
      <w:lang w:val="en-GB"/>
    </w:rPr>
  </w:style>
  <w:style w:type="paragraph" w:styleId="Textpoznpodarou">
    <w:name w:val="footnote text"/>
    <w:basedOn w:val="Normln"/>
    <w:semiHidden/>
  </w:style>
  <w:style w:type="character" w:styleId="Znakapoznpodarou">
    <w:name w:val="footnote reference"/>
    <w:semiHidden/>
    <w:rPr>
      <w:vertAlign w:val="superscript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Anglicky">
    <w:name w:val="Anglicky"/>
    <w:basedOn w:val="Normln"/>
    <w:pPr>
      <w:overflowPunct w:val="0"/>
      <w:jc w:val="both"/>
      <w:textAlignment w:val="baseline"/>
    </w:pPr>
    <w:rPr>
      <w:i/>
      <w:iCs/>
      <w:color w:val="808080"/>
      <w:sz w:val="18"/>
      <w:szCs w:val="18"/>
      <w:lang w:val="en-GB"/>
    </w:rPr>
  </w:style>
  <w:style w:type="paragraph" w:customStyle="1" w:styleId="kbDocumentnameextrenal">
    <w:name w:val="kb_Document_name_extrenal"/>
    <w:basedOn w:val="Normln"/>
    <w:pPr>
      <w:shd w:val="pct37" w:color="auto" w:fill="auto"/>
      <w:tabs>
        <w:tab w:val="right" w:pos="6167"/>
      </w:tabs>
      <w:overflowPunct w:val="0"/>
      <w:spacing w:before="560"/>
      <w:textAlignment w:val="baseline"/>
    </w:pPr>
    <w:rPr>
      <w:b/>
      <w:bCs/>
      <w:color w:val="FFFFFF"/>
      <w:sz w:val="27"/>
      <w:szCs w:val="27"/>
    </w:rPr>
  </w:style>
  <w:style w:type="character" w:styleId="slostrnky">
    <w:name w:val="page number"/>
    <w:rPr>
      <w:rFonts w:ascii="Arial" w:hAnsi="Arial" w:cs="Arial"/>
      <w:sz w:val="16"/>
      <w:szCs w:val="16"/>
    </w:rPr>
  </w:style>
  <w:style w:type="paragraph" w:customStyle="1" w:styleId="kbFixedtext">
    <w:name w:val="kb_Fixed_text"/>
    <w:basedOn w:val="Normln"/>
    <w:pPr>
      <w:overflowPunct w:val="0"/>
      <w:spacing w:before="40"/>
      <w:textAlignment w:val="baseline"/>
    </w:pPr>
    <w:rPr>
      <w:sz w:val="16"/>
      <w:szCs w:val="16"/>
    </w:rPr>
  </w:style>
  <w:style w:type="paragraph" w:customStyle="1" w:styleId="kbRegistration">
    <w:name w:val="kb_Registration"/>
    <w:basedOn w:val="Normln"/>
    <w:pPr>
      <w:overflowPunct w:val="0"/>
      <w:spacing w:before="40"/>
      <w:textAlignment w:val="baseline"/>
    </w:pPr>
    <w:rPr>
      <w:caps/>
      <w:sz w:val="8"/>
      <w:szCs w:val="8"/>
    </w:rPr>
  </w:style>
  <w:style w:type="paragraph" w:customStyle="1" w:styleId="Registration">
    <w:name w:val="Registration"/>
    <w:basedOn w:val="Normln"/>
    <w:pPr>
      <w:overflowPunct w:val="0"/>
      <w:spacing w:before="40"/>
      <w:textAlignment w:val="baseline"/>
    </w:pPr>
    <w:rPr>
      <w:caps/>
      <w:sz w:val="8"/>
      <w:szCs w:val="8"/>
    </w:rPr>
  </w:style>
  <w:style w:type="character" w:styleId="Odkaznakoment">
    <w:name w:val="annotation reference"/>
    <w:uiPriority w:val="99"/>
    <w:semiHidden/>
    <w:unhideWhenUsed/>
    <w:rsid w:val="0095458F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5458F"/>
    <w:rPr>
      <w:rFonts w:cs="Times New Roman"/>
      <w:sz w:val="24"/>
      <w:szCs w:val="24"/>
    </w:rPr>
  </w:style>
  <w:style w:type="character" w:customStyle="1" w:styleId="TextkomenteChar">
    <w:name w:val="Text komentáře Char"/>
    <w:link w:val="Textkomente"/>
    <w:uiPriority w:val="99"/>
    <w:semiHidden/>
    <w:rsid w:val="0095458F"/>
    <w:rPr>
      <w:rFonts w:ascii="Arial" w:hAnsi="Arial" w:cs="Arial"/>
      <w:sz w:val="24"/>
      <w:szCs w:val="24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5458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5458F"/>
    <w:rPr>
      <w:rFonts w:ascii="Arial" w:hAnsi="Arial" w:cs="Arial"/>
      <w:b/>
      <w:bCs/>
      <w:sz w:val="24"/>
      <w:szCs w:val="24"/>
      <w:lang w:val="cs-CZ" w:eastAsia="cs-CZ"/>
    </w:rPr>
  </w:style>
  <w:style w:type="paragraph" w:customStyle="1" w:styleId="CharCharCharCharCharCharChar">
    <w:name w:val="Char Char Char Char Char Char Char"/>
    <w:basedOn w:val="Normln"/>
    <w:semiHidden/>
    <w:rsid w:val="00811369"/>
    <w:pPr>
      <w:autoSpaceDE/>
      <w:autoSpaceDN/>
      <w:adjustRightInd/>
      <w:spacing w:after="160" w:line="240" w:lineRule="exact"/>
    </w:pPr>
    <w:rPr>
      <w:rFonts w:cs="Times New Roman"/>
      <w:sz w:val="22"/>
      <w:szCs w:val="22"/>
      <w:lang w:val="en-US" w:eastAsia="en-US"/>
    </w:rPr>
  </w:style>
  <w:style w:type="character" w:customStyle="1" w:styleId="platne1">
    <w:name w:val="platne1"/>
    <w:basedOn w:val="Standardnpsmoodstavce"/>
    <w:rsid w:val="00266D6C"/>
    <w:rPr>
      <w:w w:val="120"/>
    </w:rPr>
  </w:style>
  <w:style w:type="paragraph" w:styleId="Revize">
    <w:name w:val="Revision"/>
    <w:hidden/>
    <w:uiPriority w:val="99"/>
    <w:semiHidden/>
    <w:rsid w:val="00DB51B5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5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649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Dopis zasílaný z KB</vt:lpstr>
    </vt:vector>
  </TitlesOfParts>
  <Company>Komerèníbanka</Company>
  <LinksUpToDate>false</LinksUpToDate>
  <CharactersWithSpaces>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 zasílaný z KB</dc:title>
  <dc:creator>neznámý</dc:creator>
  <cp:lastModifiedBy>Jakoubková Marie</cp:lastModifiedBy>
  <cp:revision>3</cp:revision>
  <cp:lastPrinted>2014-06-12T12:34:00Z</cp:lastPrinted>
  <dcterms:created xsi:type="dcterms:W3CDTF">2014-06-09T13:51:00Z</dcterms:created>
  <dcterms:modified xsi:type="dcterms:W3CDTF">2014-06-12T12:34:00Z</dcterms:modified>
</cp:coreProperties>
</file>