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32" w:rsidRPr="00025DF5" w:rsidRDefault="00825FB5" w:rsidP="00025DF5">
      <w:pPr>
        <w:ind w:left="6662"/>
        <w:jc w:val="both"/>
        <w:rPr>
          <w:rFonts w:ascii="Arial" w:hAnsi="Arial" w:cs="Arial"/>
          <w:b/>
          <w:sz w:val="22"/>
          <w:szCs w:val="22"/>
        </w:rPr>
      </w:pPr>
      <w:r>
        <w:rPr>
          <w:rFonts w:ascii="Arial" w:hAnsi="Arial" w:cs="Arial"/>
          <w:b/>
          <w:sz w:val="22"/>
          <w:szCs w:val="22"/>
        </w:rPr>
        <w:t>RK-15-2014-31</w:t>
      </w:r>
      <w:r w:rsidR="001B0A32" w:rsidRPr="00025DF5">
        <w:rPr>
          <w:rFonts w:ascii="Arial" w:hAnsi="Arial" w:cs="Arial"/>
          <w:b/>
          <w:sz w:val="22"/>
          <w:szCs w:val="22"/>
        </w:rPr>
        <w:t>, př.</w:t>
      </w:r>
      <w:r w:rsidR="00025DF5">
        <w:rPr>
          <w:rFonts w:ascii="Arial" w:hAnsi="Arial" w:cs="Arial"/>
          <w:b/>
          <w:sz w:val="22"/>
          <w:szCs w:val="22"/>
        </w:rPr>
        <w:t xml:space="preserve"> </w:t>
      </w:r>
      <w:r w:rsidR="001B0A32" w:rsidRPr="00025DF5">
        <w:rPr>
          <w:rFonts w:ascii="Arial" w:hAnsi="Arial" w:cs="Arial"/>
          <w:b/>
          <w:sz w:val="22"/>
          <w:szCs w:val="22"/>
        </w:rPr>
        <w:t>1</w:t>
      </w:r>
    </w:p>
    <w:p w:rsidR="001B0A32" w:rsidRDefault="001B0A32" w:rsidP="00025DF5">
      <w:pPr>
        <w:ind w:left="6662"/>
        <w:jc w:val="both"/>
        <w:rPr>
          <w:rFonts w:ascii="Arial" w:hAnsi="Arial" w:cs="Arial"/>
          <w:b/>
          <w:sz w:val="22"/>
          <w:szCs w:val="22"/>
        </w:rPr>
      </w:pPr>
      <w:r w:rsidRPr="00025DF5">
        <w:rPr>
          <w:rFonts w:ascii="Arial" w:hAnsi="Arial" w:cs="Arial"/>
          <w:b/>
          <w:sz w:val="22"/>
          <w:szCs w:val="22"/>
        </w:rPr>
        <w:t>Počet stran:</w:t>
      </w:r>
      <w:r>
        <w:rPr>
          <w:rFonts w:ascii="Arial" w:hAnsi="Arial" w:cs="Arial"/>
          <w:b/>
          <w:sz w:val="22"/>
          <w:szCs w:val="22"/>
        </w:rPr>
        <w:t xml:space="preserve"> 36</w:t>
      </w:r>
    </w:p>
    <w:p w:rsidR="00025DF5" w:rsidRPr="00025DF5" w:rsidRDefault="00025DF5" w:rsidP="00025DF5">
      <w:pPr>
        <w:ind w:left="6662"/>
        <w:jc w:val="both"/>
        <w:rPr>
          <w:rFonts w:ascii="Arial" w:hAnsi="Arial" w:cs="Arial"/>
          <w:b/>
          <w:sz w:val="22"/>
          <w:szCs w:val="22"/>
        </w:rPr>
      </w:pPr>
    </w:p>
    <w:p w:rsidR="008F3030" w:rsidRPr="00B1460D" w:rsidRDefault="008F3030" w:rsidP="008F3030">
      <w:pPr>
        <w:spacing w:line="360" w:lineRule="auto"/>
        <w:jc w:val="center"/>
        <w:rPr>
          <w:rFonts w:ascii="Arial" w:hAnsi="Arial" w:cs="Arial"/>
          <w:b/>
          <w:sz w:val="28"/>
          <w:szCs w:val="28"/>
        </w:rPr>
      </w:pPr>
      <w:r w:rsidRPr="00B1460D">
        <w:rPr>
          <w:rFonts w:ascii="Arial" w:hAnsi="Arial" w:cs="Arial"/>
          <w:b/>
          <w:sz w:val="28"/>
          <w:szCs w:val="28"/>
        </w:rPr>
        <w:t xml:space="preserve">Smlouva o poskytnutí dotace </w:t>
      </w:r>
    </w:p>
    <w:p w:rsidR="008F3030" w:rsidRPr="00B1460D" w:rsidRDefault="008F3030" w:rsidP="008F3030">
      <w:pPr>
        <w:spacing w:line="360" w:lineRule="auto"/>
        <w:jc w:val="center"/>
        <w:rPr>
          <w:rFonts w:ascii="Arial" w:hAnsi="Arial" w:cs="Arial"/>
          <w:b/>
          <w:sz w:val="28"/>
          <w:szCs w:val="28"/>
        </w:rPr>
      </w:pPr>
      <w:r w:rsidRPr="00B1460D">
        <w:rPr>
          <w:rFonts w:ascii="Arial" w:hAnsi="Arial" w:cs="Arial"/>
          <w:b/>
          <w:sz w:val="28"/>
          <w:szCs w:val="28"/>
        </w:rPr>
        <w:t>z Regionálního operačního programu NUTS 2 Jihovýchod</w:t>
      </w:r>
    </w:p>
    <w:p w:rsidR="008F3030" w:rsidRPr="00B1460D" w:rsidRDefault="008F3030" w:rsidP="008F3030">
      <w:pPr>
        <w:tabs>
          <w:tab w:val="left" w:pos="1800"/>
        </w:tabs>
        <w:spacing w:line="360" w:lineRule="auto"/>
        <w:rPr>
          <w:rFonts w:ascii="Arial" w:hAnsi="Arial" w:cs="Arial"/>
          <w:b/>
          <w:sz w:val="22"/>
        </w:rPr>
      </w:pPr>
    </w:p>
    <w:p w:rsidR="008F3030" w:rsidRPr="00B1460D" w:rsidRDefault="008F3030" w:rsidP="008F3030">
      <w:pPr>
        <w:spacing w:line="360" w:lineRule="auto"/>
        <w:rPr>
          <w:rFonts w:ascii="Arial" w:hAnsi="Arial" w:cs="Arial"/>
          <w:sz w:val="22"/>
        </w:rPr>
      </w:pPr>
      <w:r w:rsidRPr="00B1460D">
        <w:rPr>
          <w:rFonts w:ascii="Arial" w:hAnsi="Arial" w:cs="Arial"/>
          <w:sz w:val="22"/>
        </w:rPr>
        <w:t>Pro projekt s názvem:</w:t>
      </w:r>
      <w:r w:rsidRPr="00B1460D" w:rsidDel="00D45E24">
        <w:rPr>
          <w:rFonts w:ascii="Arial" w:hAnsi="Arial" w:cs="Arial"/>
          <w:sz w:val="22"/>
        </w:rPr>
        <w:t xml:space="preserve"> </w:t>
      </w:r>
      <w:r w:rsidR="002A6B63" w:rsidRPr="00B1460D">
        <w:rPr>
          <w:rFonts w:ascii="Arial" w:hAnsi="Arial" w:cs="Arial"/>
          <w:sz w:val="22"/>
        </w:rPr>
        <w:tab/>
      </w:r>
      <w:r w:rsidR="0043194F" w:rsidRPr="00B1460D">
        <w:rPr>
          <w:rFonts w:ascii="Arial" w:hAnsi="Arial" w:cs="Arial"/>
          <w:sz w:val="22"/>
        </w:rPr>
        <w:t>Vzdělávání pro zvýšení absorpční kapacity Kraje Vysočina</w:t>
      </w:r>
    </w:p>
    <w:p w:rsidR="008F3030" w:rsidRPr="00B1460D" w:rsidRDefault="008F3030" w:rsidP="008F3030">
      <w:pPr>
        <w:spacing w:line="360" w:lineRule="auto"/>
        <w:rPr>
          <w:rFonts w:ascii="Arial" w:hAnsi="Arial" w:cs="Arial"/>
          <w:sz w:val="22"/>
        </w:rPr>
      </w:pPr>
      <w:r w:rsidRPr="00B1460D">
        <w:rPr>
          <w:rFonts w:ascii="Arial" w:hAnsi="Arial" w:cs="Arial"/>
          <w:sz w:val="22"/>
        </w:rPr>
        <w:t>Prioritní osa:</w:t>
      </w:r>
      <w:r w:rsidR="0043194F" w:rsidRPr="00B1460D">
        <w:rPr>
          <w:rFonts w:ascii="Arial" w:hAnsi="Arial" w:cs="Arial"/>
          <w:sz w:val="22"/>
        </w:rPr>
        <w:t xml:space="preserve"> </w:t>
      </w:r>
      <w:r w:rsidR="002A6B63" w:rsidRPr="00B1460D">
        <w:rPr>
          <w:rFonts w:ascii="Arial" w:hAnsi="Arial" w:cs="Arial"/>
          <w:sz w:val="22"/>
        </w:rPr>
        <w:tab/>
      </w:r>
      <w:r w:rsidR="002A6B63" w:rsidRPr="00B1460D">
        <w:rPr>
          <w:rFonts w:ascii="Arial" w:hAnsi="Arial" w:cs="Arial"/>
          <w:sz w:val="22"/>
        </w:rPr>
        <w:tab/>
      </w:r>
      <w:r w:rsidR="002A6B63" w:rsidRPr="00B1460D">
        <w:rPr>
          <w:rFonts w:ascii="Arial" w:hAnsi="Arial" w:cs="Arial"/>
          <w:sz w:val="22"/>
        </w:rPr>
        <w:tab/>
      </w:r>
      <w:r w:rsidR="0043194F" w:rsidRPr="00B1460D">
        <w:rPr>
          <w:rFonts w:ascii="Arial" w:hAnsi="Arial" w:cs="Arial"/>
          <w:sz w:val="22"/>
        </w:rPr>
        <w:t xml:space="preserve">11. 4 </w:t>
      </w:r>
      <w:r w:rsidR="00674FE8" w:rsidRPr="00B1460D">
        <w:rPr>
          <w:rFonts w:ascii="Arial" w:hAnsi="Arial" w:cs="Arial"/>
          <w:sz w:val="22"/>
        </w:rPr>
        <w:t>Technická</w:t>
      </w:r>
      <w:r w:rsidR="0043194F" w:rsidRPr="00B1460D">
        <w:rPr>
          <w:rFonts w:ascii="Arial" w:hAnsi="Arial" w:cs="Arial"/>
          <w:sz w:val="22"/>
        </w:rPr>
        <w:t xml:space="preserve"> pomoc</w:t>
      </w:r>
      <w:bookmarkStart w:id="0" w:name="_GoBack"/>
      <w:bookmarkEnd w:id="0"/>
    </w:p>
    <w:p w:rsidR="008F3030" w:rsidRPr="00B1460D" w:rsidRDefault="008F3030" w:rsidP="008F3030">
      <w:pPr>
        <w:spacing w:line="360" w:lineRule="auto"/>
        <w:rPr>
          <w:rFonts w:ascii="Arial" w:hAnsi="Arial" w:cs="Arial"/>
          <w:sz w:val="22"/>
        </w:rPr>
      </w:pPr>
      <w:r w:rsidRPr="00B1460D">
        <w:rPr>
          <w:rFonts w:ascii="Arial" w:hAnsi="Arial" w:cs="Arial"/>
          <w:sz w:val="22"/>
        </w:rPr>
        <w:t>Oblast podpory</w:t>
      </w:r>
      <w:r w:rsidR="0043194F" w:rsidRPr="00B1460D">
        <w:rPr>
          <w:rFonts w:ascii="Arial" w:hAnsi="Arial" w:cs="Arial"/>
          <w:sz w:val="22"/>
        </w:rPr>
        <w:t xml:space="preserve">: </w:t>
      </w:r>
      <w:r w:rsidR="002A6B63" w:rsidRPr="00B1460D">
        <w:rPr>
          <w:rFonts w:ascii="Arial" w:hAnsi="Arial" w:cs="Arial"/>
          <w:sz w:val="22"/>
        </w:rPr>
        <w:tab/>
      </w:r>
      <w:r w:rsidR="002A6B63" w:rsidRPr="00B1460D">
        <w:rPr>
          <w:rFonts w:ascii="Arial" w:hAnsi="Arial" w:cs="Arial"/>
          <w:sz w:val="22"/>
        </w:rPr>
        <w:tab/>
      </w:r>
      <w:r w:rsidR="0043194F" w:rsidRPr="00B1460D">
        <w:rPr>
          <w:rFonts w:ascii="Arial" w:hAnsi="Arial" w:cs="Arial"/>
          <w:sz w:val="22"/>
        </w:rPr>
        <w:t xml:space="preserve">11. 4. 2 Podpora </w:t>
      </w:r>
      <w:r w:rsidR="00674FE8" w:rsidRPr="00B1460D">
        <w:rPr>
          <w:rFonts w:ascii="Arial" w:hAnsi="Arial" w:cs="Arial"/>
          <w:sz w:val="22"/>
        </w:rPr>
        <w:t>a</w:t>
      </w:r>
      <w:r w:rsidR="0043194F" w:rsidRPr="00B1460D">
        <w:rPr>
          <w:rFonts w:ascii="Arial" w:hAnsi="Arial" w:cs="Arial"/>
          <w:sz w:val="22"/>
        </w:rPr>
        <w:t>bsorpční kapacity</w:t>
      </w:r>
    </w:p>
    <w:p w:rsidR="008F3030" w:rsidRPr="00B1460D" w:rsidRDefault="008F3030" w:rsidP="008F3030">
      <w:pPr>
        <w:spacing w:line="360" w:lineRule="auto"/>
        <w:rPr>
          <w:rFonts w:ascii="Arial" w:hAnsi="Arial" w:cs="Arial"/>
          <w:sz w:val="22"/>
        </w:rPr>
      </w:pPr>
      <w:r w:rsidRPr="00B1460D">
        <w:rPr>
          <w:rFonts w:ascii="Arial" w:hAnsi="Arial" w:cs="Arial"/>
          <w:sz w:val="22"/>
        </w:rPr>
        <w:t>Číslo projektu:</w:t>
      </w:r>
      <w:r w:rsidR="0043194F" w:rsidRPr="00B1460D">
        <w:rPr>
          <w:rFonts w:ascii="Arial" w:hAnsi="Arial" w:cs="Arial"/>
          <w:sz w:val="22"/>
        </w:rPr>
        <w:t xml:space="preserve"> </w:t>
      </w:r>
      <w:r w:rsidR="002A6B63" w:rsidRPr="00B1460D">
        <w:rPr>
          <w:rFonts w:ascii="Arial" w:hAnsi="Arial" w:cs="Arial"/>
          <w:sz w:val="22"/>
        </w:rPr>
        <w:tab/>
      </w:r>
      <w:r w:rsidR="002A6B63" w:rsidRPr="00B1460D">
        <w:rPr>
          <w:rFonts w:ascii="Arial" w:hAnsi="Arial" w:cs="Arial"/>
          <w:sz w:val="22"/>
        </w:rPr>
        <w:tab/>
      </w:r>
      <w:r w:rsidR="0043194F" w:rsidRPr="00B1460D">
        <w:rPr>
          <w:rFonts w:ascii="Arial" w:hAnsi="Arial" w:cs="Arial"/>
          <w:sz w:val="22"/>
        </w:rPr>
        <w:t>CZ.1.11/4.2.00/39.01618</w:t>
      </w:r>
    </w:p>
    <w:p w:rsidR="008F3030" w:rsidRPr="00B1460D" w:rsidRDefault="008F3030" w:rsidP="008F3030">
      <w:pPr>
        <w:spacing w:line="360" w:lineRule="auto"/>
        <w:rPr>
          <w:rFonts w:ascii="Arial" w:hAnsi="Arial" w:cs="Arial"/>
          <w:sz w:val="22"/>
        </w:rPr>
      </w:pPr>
      <w:r w:rsidRPr="00B1460D">
        <w:rPr>
          <w:rFonts w:ascii="Arial" w:hAnsi="Arial" w:cs="Arial"/>
          <w:sz w:val="22"/>
        </w:rPr>
        <w:t>dále jen „projekt“</w:t>
      </w:r>
    </w:p>
    <w:p w:rsidR="008F3030" w:rsidRPr="00B1460D" w:rsidRDefault="008F3030" w:rsidP="008F3030">
      <w:pPr>
        <w:widowControl w:val="0"/>
        <w:tabs>
          <w:tab w:val="left" w:pos="708"/>
        </w:tabs>
        <w:spacing w:line="360" w:lineRule="auto"/>
        <w:jc w:val="center"/>
        <w:rPr>
          <w:rFonts w:ascii="Arial" w:hAnsi="Arial" w:cs="Arial"/>
          <w:sz w:val="22"/>
        </w:rPr>
      </w:pPr>
      <w:r w:rsidRPr="00B1460D">
        <w:rPr>
          <w:rFonts w:ascii="Arial" w:hAnsi="Arial" w:cs="Arial"/>
          <w:sz w:val="22"/>
        </w:rPr>
        <w:t>uzavřená</w:t>
      </w:r>
    </w:p>
    <w:p w:rsidR="008F3030" w:rsidRPr="00B1460D" w:rsidRDefault="008F3030" w:rsidP="008F3030">
      <w:pPr>
        <w:widowControl w:val="0"/>
        <w:tabs>
          <w:tab w:val="left" w:pos="708"/>
        </w:tabs>
        <w:spacing w:line="360" w:lineRule="auto"/>
        <w:rPr>
          <w:rFonts w:ascii="Arial" w:hAnsi="Arial" w:cs="Arial"/>
          <w:sz w:val="22"/>
        </w:rPr>
      </w:pPr>
    </w:p>
    <w:p w:rsidR="008F3030" w:rsidRPr="00B1460D" w:rsidRDefault="008F3030" w:rsidP="008F3030">
      <w:pPr>
        <w:pStyle w:val="slovan-2rove"/>
        <w:widowControl w:val="0"/>
        <w:tabs>
          <w:tab w:val="left" w:pos="708"/>
        </w:tabs>
        <w:spacing w:line="360" w:lineRule="auto"/>
        <w:rPr>
          <w:rFonts w:ascii="Arial" w:hAnsi="Arial" w:cs="Arial"/>
          <w:snapToGrid w:val="0"/>
          <w:sz w:val="22"/>
        </w:rPr>
      </w:pPr>
      <w:r w:rsidRPr="00B1460D">
        <w:rPr>
          <w:rFonts w:ascii="Arial" w:hAnsi="Arial" w:cs="Arial"/>
          <w:snapToGrid w:val="0"/>
          <w:sz w:val="22"/>
        </w:rPr>
        <w:t xml:space="preserve">podle ustanovení § </w:t>
      </w:r>
      <w:r w:rsidR="0029794B" w:rsidRPr="00B1460D">
        <w:rPr>
          <w:rFonts w:ascii="Arial" w:hAnsi="Arial" w:cs="Arial"/>
          <w:snapToGrid w:val="0"/>
          <w:sz w:val="22"/>
        </w:rPr>
        <w:t xml:space="preserve">159 a násl. </w:t>
      </w:r>
      <w:r w:rsidRPr="00B1460D">
        <w:rPr>
          <w:rFonts w:ascii="Arial" w:hAnsi="Arial" w:cs="Arial"/>
          <w:snapToGrid w:val="0"/>
          <w:sz w:val="22"/>
        </w:rPr>
        <w:t>zákona č. </w:t>
      </w:r>
      <w:r w:rsidR="0029794B" w:rsidRPr="00B1460D">
        <w:rPr>
          <w:rFonts w:ascii="Arial" w:hAnsi="Arial" w:cs="Arial"/>
          <w:snapToGrid w:val="0"/>
          <w:sz w:val="22"/>
        </w:rPr>
        <w:t>500/2004</w:t>
      </w:r>
      <w:r w:rsidRPr="00B1460D">
        <w:rPr>
          <w:rFonts w:ascii="Arial" w:hAnsi="Arial" w:cs="Arial"/>
          <w:snapToGrid w:val="0"/>
          <w:sz w:val="22"/>
        </w:rPr>
        <w:t xml:space="preserve"> Sb., </w:t>
      </w:r>
      <w:r w:rsidR="0029794B" w:rsidRPr="00B1460D">
        <w:rPr>
          <w:rFonts w:ascii="Arial" w:hAnsi="Arial" w:cs="Arial"/>
          <w:snapToGrid w:val="0"/>
          <w:sz w:val="22"/>
        </w:rPr>
        <w:t>správní řád</w:t>
      </w:r>
      <w:r w:rsidRPr="00B1460D">
        <w:rPr>
          <w:rFonts w:ascii="Arial" w:hAnsi="Arial" w:cs="Arial"/>
          <w:snapToGrid w:val="0"/>
          <w:sz w:val="22"/>
        </w:rPr>
        <w:t>, ve znění pozdějších předpisů a na základě dokumentace Regionálního operačního programu NUTS 2 Jihovýchod,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a podle zákona č. 248/2000 Sb., o podpoře regionálního rozvoje, a zákona č. 250/2000 Sb., o rozpočtových pravidlech územních rozpočtů, ve znění pozdějších předpisů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 pravidly, která nemají povahu právních předpisů vydávaných státními orgány a poskytovatelem, které se na základě této smlouvy stávají pro strany závazné</w:t>
      </w:r>
    </w:p>
    <w:p w:rsidR="008F3030" w:rsidRPr="00B1460D" w:rsidRDefault="008F3030" w:rsidP="008F3030">
      <w:pPr>
        <w:pStyle w:val="slovan-2rove"/>
        <w:widowControl w:val="0"/>
        <w:tabs>
          <w:tab w:val="left" w:pos="708"/>
          <w:tab w:val="left" w:pos="2674"/>
        </w:tabs>
        <w:rPr>
          <w:rFonts w:ascii="Arial" w:hAnsi="Arial" w:cs="Arial"/>
          <w:snapToGrid w:val="0"/>
        </w:rPr>
      </w:pPr>
    </w:p>
    <w:p w:rsidR="008F3030" w:rsidRPr="00B1460D" w:rsidRDefault="008F3030" w:rsidP="008F3030">
      <w:pPr>
        <w:spacing w:line="360" w:lineRule="auto"/>
        <w:rPr>
          <w:rFonts w:ascii="Arial" w:hAnsi="Arial" w:cs="Arial"/>
          <w:sz w:val="22"/>
        </w:rPr>
      </w:pPr>
      <w:r w:rsidRPr="00B1460D">
        <w:rPr>
          <w:rFonts w:ascii="Arial" w:hAnsi="Arial" w:cs="Arial"/>
          <w:sz w:val="22"/>
        </w:rPr>
        <w:t>mezi</w:t>
      </w:r>
    </w:p>
    <w:p w:rsidR="008F3030" w:rsidRPr="00B1460D" w:rsidRDefault="008F3030" w:rsidP="008F3030">
      <w:pPr>
        <w:spacing w:line="360" w:lineRule="auto"/>
        <w:rPr>
          <w:rFonts w:ascii="Arial" w:hAnsi="Arial" w:cs="Arial"/>
          <w:sz w:val="22"/>
        </w:rPr>
      </w:pPr>
    </w:p>
    <w:p w:rsidR="008F3030" w:rsidRPr="00B1460D" w:rsidRDefault="008F3030" w:rsidP="008F3030">
      <w:pPr>
        <w:spacing w:line="360" w:lineRule="auto"/>
        <w:jc w:val="both"/>
        <w:rPr>
          <w:rFonts w:ascii="Arial" w:hAnsi="Arial" w:cs="Arial"/>
          <w:sz w:val="22"/>
        </w:rPr>
      </w:pPr>
      <w:r w:rsidRPr="00B1460D">
        <w:rPr>
          <w:rFonts w:ascii="Arial" w:hAnsi="Arial" w:cs="Arial"/>
          <w:sz w:val="22"/>
        </w:rPr>
        <w:t>Regionální radou regionu soudržnosti Jihovýchod</w:t>
      </w:r>
    </w:p>
    <w:p w:rsidR="008F3030" w:rsidRPr="00B1460D" w:rsidRDefault="008F3030" w:rsidP="008F3030">
      <w:pPr>
        <w:spacing w:line="360" w:lineRule="auto"/>
        <w:jc w:val="both"/>
        <w:rPr>
          <w:rFonts w:ascii="Arial" w:hAnsi="Arial" w:cs="Arial"/>
          <w:sz w:val="22"/>
        </w:rPr>
      </w:pPr>
      <w:r w:rsidRPr="00B1460D">
        <w:rPr>
          <w:rFonts w:ascii="Arial" w:hAnsi="Arial" w:cs="Arial"/>
          <w:sz w:val="22"/>
        </w:rPr>
        <w:t xml:space="preserve">se sídlem: </w:t>
      </w:r>
      <w:r w:rsidRPr="00B1460D">
        <w:rPr>
          <w:rFonts w:ascii="Arial" w:hAnsi="Arial" w:cs="Arial"/>
          <w:sz w:val="22"/>
        </w:rPr>
        <w:tab/>
      </w:r>
      <w:r w:rsidRPr="00B1460D">
        <w:rPr>
          <w:rFonts w:ascii="Arial" w:hAnsi="Arial" w:cs="Arial"/>
          <w:sz w:val="22"/>
        </w:rPr>
        <w:tab/>
      </w:r>
      <w:r w:rsidRPr="00B1460D">
        <w:rPr>
          <w:rFonts w:ascii="Arial" w:hAnsi="Arial" w:cs="Arial"/>
          <w:sz w:val="22"/>
        </w:rPr>
        <w:tab/>
        <w:t>Kounicova 13, Brno 602 00</w:t>
      </w:r>
    </w:p>
    <w:p w:rsidR="008F3030" w:rsidRPr="00B1460D" w:rsidRDefault="008F3030" w:rsidP="008F3030">
      <w:pPr>
        <w:spacing w:line="360" w:lineRule="auto"/>
        <w:jc w:val="both"/>
        <w:rPr>
          <w:rFonts w:ascii="Arial" w:hAnsi="Arial" w:cs="Arial"/>
          <w:sz w:val="22"/>
        </w:rPr>
      </w:pPr>
      <w:r w:rsidRPr="00B1460D">
        <w:rPr>
          <w:rFonts w:ascii="Arial" w:hAnsi="Arial" w:cs="Arial"/>
          <w:sz w:val="22"/>
        </w:rPr>
        <w:t xml:space="preserve">jednající: </w:t>
      </w:r>
      <w:r w:rsidRPr="00B1460D">
        <w:rPr>
          <w:rFonts w:ascii="Arial" w:hAnsi="Arial" w:cs="Arial"/>
          <w:sz w:val="22"/>
        </w:rPr>
        <w:tab/>
      </w:r>
      <w:r w:rsidRPr="00B1460D">
        <w:rPr>
          <w:rFonts w:ascii="Arial" w:hAnsi="Arial" w:cs="Arial"/>
          <w:sz w:val="22"/>
        </w:rPr>
        <w:tab/>
      </w:r>
      <w:r w:rsidRPr="00B1460D">
        <w:rPr>
          <w:rFonts w:ascii="Arial" w:hAnsi="Arial" w:cs="Arial"/>
          <w:sz w:val="22"/>
        </w:rPr>
        <w:tab/>
      </w:r>
      <w:r w:rsidR="0043194F" w:rsidRPr="00B1460D">
        <w:rPr>
          <w:rFonts w:ascii="Arial" w:hAnsi="Arial" w:cs="Arial"/>
          <w:sz w:val="22"/>
        </w:rPr>
        <w:t>MUDr. Jiřím Běhounkem</w:t>
      </w:r>
      <w:r w:rsidRPr="00B1460D">
        <w:rPr>
          <w:rFonts w:ascii="Arial" w:hAnsi="Arial" w:cs="Arial"/>
          <w:sz w:val="22"/>
        </w:rPr>
        <w:t>, předsedou</w:t>
      </w:r>
    </w:p>
    <w:p w:rsidR="008F3030" w:rsidRPr="00B1460D" w:rsidRDefault="008F3030" w:rsidP="008F3030">
      <w:pPr>
        <w:spacing w:line="360" w:lineRule="auto"/>
        <w:jc w:val="both"/>
        <w:rPr>
          <w:rFonts w:ascii="Arial" w:hAnsi="Arial" w:cs="Arial"/>
          <w:sz w:val="22"/>
        </w:rPr>
      </w:pPr>
      <w:r w:rsidRPr="00B1460D">
        <w:rPr>
          <w:rFonts w:ascii="Arial" w:hAnsi="Arial" w:cs="Arial"/>
          <w:sz w:val="22"/>
        </w:rPr>
        <w:t>IČ: </w:t>
      </w:r>
      <w:r w:rsidRPr="00B1460D">
        <w:rPr>
          <w:rFonts w:ascii="Arial" w:hAnsi="Arial" w:cs="Arial"/>
          <w:sz w:val="22"/>
        </w:rPr>
        <w:tab/>
      </w:r>
      <w:r w:rsidRPr="00B1460D">
        <w:rPr>
          <w:rFonts w:ascii="Arial" w:hAnsi="Arial" w:cs="Arial"/>
          <w:sz w:val="22"/>
        </w:rPr>
        <w:tab/>
      </w:r>
      <w:r w:rsidRPr="00B1460D">
        <w:rPr>
          <w:rFonts w:ascii="Arial" w:hAnsi="Arial" w:cs="Arial"/>
          <w:sz w:val="22"/>
        </w:rPr>
        <w:tab/>
      </w:r>
      <w:r w:rsidRPr="00B1460D">
        <w:rPr>
          <w:rFonts w:ascii="Arial" w:hAnsi="Arial" w:cs="Arial"/>
          <w:sz w:val="22"/>
        </w:rPr>
        <w:tab/>
        <w:t>75 08 22 41</w:t>
      </w:r>
    </w:p>
    <w:p w:rsidR="008F3030" w:rsidRPr="00B1460D" w:rsidRDefault="008F3030" w:rsidP="008F3030">
      <w:pPr>
        <w:spacing w:line="360" w:lineRule="auto"/>
        <w:rPr>
          <w:rFonts w:ascii="Arial" w:hAnsi="Arial" w:cs="Arial"/>
          <w:sz w:val="22"/>
        </w:rPr>
      </w:pPr>
      <w:r w:rsidRPr="00B1460D">
        <w:rPr>
          <w:rFonts w:ascii="Arial" w:hAnsi="Arial" w:cs="Arial"/>
          <w:sz w:val="22"/>
        </w:rPr>
        <w:t>dále jen „</w:t>
      </w:r>
      <w:r w:rsidRPr="00B1460D">
        <w:rPr>
          <w:rFonts w:ascii="Arial" w:hAnsi="Arial" w:cs="Arial"/>
          <w:b/>
          <w:sz w:val="22"/>
        </w:rPr>
        <w:t>poskytovatel</w:t>
      </w:r>
      <w:r w:rsidRPr="00B1460D">
        <w:rPr>
          <w:rFonts w:ascii="Arial" w:hAnsi="Arial" w:cs="Arial"/>
          <w:sz w:val="22"/>
        </w:rPr>
        <w:t>“</w:t>
      </w:r>
    </w:p>
    <w:p w:rsidR="008F3030" w:rsidRPr="00B1460D" w:rsidRDefault="008F3030" w:rsidP="008F3030">
      <w:pPr>
        <w:spacing w:line="360" w:lineRule="auto"/>
        <w:rPr>
          <w:rFonts w:ascii="Arial" w:hAnsi="Arial" w:cs="Arial"/>
          <w:sz w:val="22"/>
        </w:rPr>
      </w:pPr>
    </w:p>
    <w:p w:rsidR="008F3030" w:rsidRPr="00B1460D" w:rsidRDefault="008F3030" w:rsidP="008F3030">
      <w:pPr>
        <w:spacing w:line="360" w:lineRule="auto"/>
        <w:rPr>
          <w:rFonts w:ascii="Arial" w:hAnsi="Arial" w:cs="Arial"/>
          <w:sz w:val="22"/>
        </w:rPr>
      </w:pPr>
      <w:r w:rsidRPr="00B1460D">
        <w:rPr>
          <w:rFonts w:ascii="Arial" w:hAnsi="Arial" w:cs="Arial"/>
          <w:sz w:val="22"/>
        </w:rPr>
        <w:t>a</w:t>
      </w:r>
    </w:p>
    <w:p w:rsidR="008F3030" w:rsidRPr="00B1460D" w:rsidRDefault="008F3030" w:rsidP="008F3030">
      <w:pPr>
        <w:spacing w:line="360" w:lineRule="auto"/>
        <w:rPr>
          <w:rFonts w:ascii="Arial" w:hAnsi="Arial" w:cs="Arial"/>
          <w:sz w:val="22"/>
        </w:rPr>
      </w:pPr>
    </w:p>
    <w:p w:rsidR="0043194F" w:rsidRPr="00B1460D" w:rsidRDefault="0043194F" w:rsidP="008F3030">
      <w:pPr>
        <w:spacing w:line="360" w:lineRule="auto"/>
        <w:rPr>
          <w:rFonts w:ascii="Arial" w:hAnsi="Arial" w:cs="Arial"/>
          <w:sz w:val="22"/>
        </w:rPr>
      </w:pPr>
      <w:r w:rsidRPr="00B1460D">
        <w:rPr>
          <w:rFonts w:ascii="Arial" w:hAnsi="Arial" w:cs="Arial"/>
          <w:sz w:val="22"/>
        </w:rPr>
        <w:lastRenderedPageBreak/>
        <w:t>Krajem Vysočina</w:t>
      </w:r>
    </w:p>
    <w:p w:rsidR="008F3030" w:rsidRPr="00B1460D" w:rsidRDefault="008F3030" w:rsidP="008F3030">
      <w:pPr>
        <w:spacing w:line="360" w:lineRule="auto"/>
        <w:rPr>
          <w:rFonts w:ascii="Arial" w:hAnsi="Arial" w:cs="Arial"/>
          <w:sz w:val="22"/>
        </w:rPr>
      </w:pPr>
    </w:p>
    <w:p w:rsidR="008F3030" w:rsidRPr="00B1460D" w:rsidRDefault="008F3030" w:rsidP="008F3030">
      <w:pPr>
        <w:spacing w:line="360" w:lineRule="auto"/>
        <w:rPr>
          <w:rFonts w:ascii="Arial" w:hAnsi="Arial" w:cs="Arial"/>
          <w:sz w:val="22"/>
        </w:rPr>
      </w:pPr>
      <w:r w:rsidRPr="00B1460D">
        <w:rPr>
          <w:rFonts w:ascii="Arial" w:hAnsi="Arial" w:cs="Arial"/>
          <w:sz w:val="22"/>
        </w:rPr>
        <w:t>se sídlem:</w:t>
      </w:r>
      <w:r w:rsidRPr="00B1460D" w:rsidDel="00504D03">
        <w:rPr>
          <w:rFonts w:ascii="Arial" w:hAnsi="Arial" w:cs="Arial"/>
          <w:sz w:val="22"/>
        </w:rPr>
        <w:t xml:space="preserve"> </w:t>
      </w:r>
      <w:r w:rsidR="005A5B91" w:rsidRPr="00B1460D">
        <w:rPr>
          <w:rFonts w:ascii="Arial" w:hAnsi="Arial" w:cs="Arial"/>
          <w:sz w:val="22"/>
        </w:rPr>
        <w:tab/>
      </w:r>
      <w:r w:rsidR="005A5B91" w:rsidRPr="00B1460D">
        <w:rPr>
          <w:rFonts w:ascii="Arial" w:hAnsi="Arial" w:cs="Arial"/>
          <w:sz w:val="22"/>
        </w:rPr>
        <w:tab/>
      </w:r>
      <w:r w:rsidR="0043194F" w:rsidRPr="00B1460D">
        <w:rPr>
          <w:rFonts w:ascii="Arial" w:hAnsi="Arial" w:cs="Arial"/>
          <w:sz w:val="22"/>
        </w:rPr>
        <w:t>Žižkova 1882</w:t>
      </w:r>
      <w:r w:rsidR="00B547F8" w:rsidRPr="00B1460D">
        <w:rPr>
          <w:rFonts w:ascii="Arial" w:hAnsi="Arial" w:cs="Arial"/>
          <w:sz w:val="22"/>
        </w:rPr>
        <w:t>/57</w:t>
      </w:r>
      <w:r w:rsidR="0043194F" w:rsidRPr="00B1460D">
        <w:rPr>
          <w:rFonts w:ascii="Arial" w:hAnsi="Arial" w:cs="Arial"/>
          <w:sz w:val="22"/>
        </w:rPr>
        <w:t>, 586 01 Jihlava</w:t>
      </w:r>
      <w:r w:rsidRPr="00B1460D">
        <w:rPr>
          <w:rFonts w:ascii="Arial" w:hAnsi="Arial" w:cs="Arial"/>
          <w:sz w:val="22"/>
        </w:rPr>
        <w:br/>
        <w:t>jednající:</w:t>
      </w:r>
      <w:r w:rsidR="0043194F" w:rsidRPr="00B1460D">
        <w:rPr>
          <w:rFonts w:ascii="Arial" w:hAnsi="Arial" w:cs="Arial"/>
          <w:sz w:val="22"/>
        </w:rPr>
        <w:t xml:space="preserve"> </w:t>
      </w:r>
      <w:r w:rsidR="005A5B91" w:rsidRPr="00B1460D">
        <w:rPr>
          <w:rFonts w:ascii="Arial" w:hAnsi="Arial" w:cs="Arial"/>
          <w:sz w:val="22"/>
        </w:rPr>
        <w:tab/>
      </w:r>
      <w:r w:rsidR="005A5B91" w:rsidRPr="00B1460D">
        <w:rPr>
          <w:rFonts w:ascii="Arial" w:hAnsi="Arial" w:cs="Arial"/>
          <w:sz w:val="22"/>
        </w:rPr>
        <w:tab/>
      </w:r>
      <w:r w:rsidR="0043194F" w:rsidRPr="00B1460D">
        <w:rPr>
          <w:rFonts w:ascii="Arial" w:hAnsi="Arial" w:cs="Arial"/>
          <w:sz w:val="22"/>
        </w:rPr>
        <w:t>Ing. Vladimír Novotný</w:t>
      </w:r>
      <w:r w:rsidR="009807BF" w:rsidRPr="00B1460D">
        <w:rPr>
          <w:rFonts w:ascii="Arial" w:hAnsi="Arial" w:cs="Arial"/>
          <w:sz w:val="22"/>
        </w:rPr>
        <w:t>, náměst</w:t>
      </w:r>
      <w:r w:rsidR="00355387" w:rsidRPr="00B1460D">
        <w:rPr>
          <w:rFonts w:ascii="Arial" w:hAnsi="Arial" w:cs="Arial"/>
          <w:sz w:val="22"/>
        </w:rPr>
        <w:t>e</w:t>
      </w:r>
      <w:r w:rsidR="009807BF" w:rsidRPr="00B1460D">
        <w:rPr>
          <w:rFonts w:ascii="Arial" w:hAnsi="Arial" w:cs="Arial"/>
          <w:sz w:val="22"/>
        </w:rPr>
        <w:t>k hejtmana Kraje Vysočina</w:t>
      </w:r>
    </w:p>
    <w:p w:rsidR="008F3030" w:rsidRPr="00B1460D" w:rsidRDefault="008F3030" w:rsidP="008F3030">
      <w:pPr>
        <w:spacing w:line="360" w:lineRule="auto"/>
        <w:rPr>
          <w:rFonts w:ascii="Arial" w:hAnsi="Arial" w:cs="Arial"/>
          <w:sz w:val="22"/>
        </w:rPr>
      </w:pPr>
      <w:r w:rsidRPr="00B1460D">
        <w:rPr>
          <w:rFonts w:ascii="Arial" w:hAnsi="Arial" w:cs="Arial"/>
          <w:sz w:val="22"/>
        </w:rPr>
        <w:t>údaje o zápisu v obchodním rejstříku či jiné evidenci:</w:t>
      </w:r>
    </w:p>
    <w:p w:rsidR="008F3030" w:rsidRPr="00B1460D" w:rsidRDefault="008F3030" w:rsidP="008F3030">
      <w:pPr>
        <w:spacing w:line="360" w:lineRule="auto"/>
        <w:rPr>
          <w:rFonts w:ascii="Arial" w:hAnsi="Arial" w:cs="Arial"/>
          <w:sz w:val="22"/>
        </w:rPr>
      </w:pPr>
      <w:r w:rsidRPr="00B1460D">
        <w:rPr>
          <w:rFonts w:ascii="Arial" w:hAnsi="Arial" w:cs="Arial"/>
          <w:sz w:val="22"/>
        </w:rPr>
        <w:t>IČ:</w:t>
      </w:r>
      <w:r w:rsidR="009807BF" w:rsidRPr="00B1460D">
        <w:rPr>
          <w:rFonts w:ascii="Arial" w:hAnsi="Arial" w:cs="Arial"/>
          <w:sz w:val="22"/>
        </w:rPr>
        <w:t xml:space="preserve"> </w:t>
      </w:r>
      <w:r w:rsidR="005A5B91" w:rsidRPr="00B1460D">
        <w:rPr>
          <w:rFonts w:ascii="Arial" w:hAnsi="Arial" w:cs="Arial"/>
          <w:sz w:val="22"/>
        </w:rPr>
        <w:tab/>
      </w:r>
      <w:r w:rsidR="005A5B91" w:rsidRPr="00B1460D">
        <w:rPr>
          <w:rFonts w:ascii="Arial" w:hAnsi="Arial" w:cs="Arial"/>
          <w:sz w:val="22"/>
        </w:rPr>
        <w:tab/>
      </w:r>
      <w:r w:rsidR="005A5B91" w:rsidRPr="00B1460D">
        <w:rPr>
          <w:rFonts w:ascii="Arial" w:hAnsi="Arial" w:cs="Arial"/>
          <w:sz w:val="22"/>
        </w:rPr>
        <w:tab/>
      </w:r>
      <w:r w:rsidR="009807BF" w:rsidRPr="00B1460D">
        <w:rPr>
          <w:rFonts w:ascii="Arial" w:hAnsi="Arial" w:cs="Arial"/>
          <w:sz w:val="22"/>
        </w:rPr>
        <w:t>70890749</w:t>
      </w:r>
    </w:p>
    <w:p w:rsidR="008F3030" w:rsidRPr="00B1460D" w:rsidRDefault="008F3030" w:rsidP="008F3030">
      <w:pPr>
        <w:spacing w:line="360" w:lineRule="auto"/>
        <w:rPr>
          <w:rFonts w:ascii="Arial" w:hAnsi="Arial" w:cs="Arial"/>
          <w:sz w:val="22"/>
        </w:rPr>
      </w:pPr>
      <w:r w:rsidRPr="00B1460D">
        <w:rPr>
          <w:rFonts w:ascii="Arial" w:hAnsi="Arial" w:cs="Arial"/>
          <w:sz w:val="22"/>
        </w:rPr>
        <w:t>DIČ:</w:t>
      </w:r>
      <w:r w:rsidR="009807BF" w:rsidRPr="00B1460D">
        <w:rPr>
          <w:rFonts w:ascii="Arial" w:hAnsi="Arial" w:cs="Arial"/>
          <w:sz w:val="22"/>
        </w:rPr>
        <w:t xml:space="preserve"> </w:t>
      </w:r>
      <w:r w:rsidR="005A5B91" w:rsidRPr="00B1460D">
        <w:rPr>
          <w:rFonts w:ascii="Arial" w:hAnsi="Arial" w:cs="Arial"/>
          <w:sz w:val="22"/>
        </w:rPr>
        <w:tab/>
      </w:r>
      <w:r w:rsidR="005A5B91" w:rsidRPr="00B1460D">
        <w:rPr>
          <w:rFonts w:ascii="Arial" w:hAnsi="Arial" w:cs="Arial"/>
          <w:sz w:val="22"/>
        </w:rPr>
        <w:tab/>
      </w:r>
      <w:r w:rsidR="005A5B91" w:rsidRPr="00B1460D">
        <w:rPr>
          <w:rFonts w:ascii="Arial" w:hAnsi="Arial" w:cs="Arial"/>
          <w:sz w:val="22"/>
        </w:rPr>
        <w:tab/>
      </w:r>
      <w:r w:rsidR="009807BF" w:rsidRPr="00B1460D">
        <w:rPr>
          <w:rFonts w:ascii="Arial" w:hAnsi="Arial" w:cs="Arial"/>
          <w:sz w:val="22"/>
        </w:rPr>
        <w:t>CZ 70890749</w:t>
      </w:r>
    </w:p>
    <w:p w:rsidR="008F3030" w:rsidRPr="00B1460D" w:rsidRDefault="008F3030" w:rsidP="008F3030">
      <w:pPr>
        <w:spacing w:line="360" w:lineRule="auto"/>
        <w:rPr>
          <w:rFonts w:ascii="Arial" w:hAnsi="Arial" w:cs="Arial"/>
          <w:sz w:val="22"/>
        </w:rPr>
      </w:pPr>
      <w:r w:rsidRPr="00B1460D">
        <w:rPr>
          <w:rFonts w:ascii="Arial" w:hAnsi="Arial" w:cs="Arial"/>
          <w:sz w:val="22"/>
        </w:rPr>
        <w:t>správce daně:</w:t>
      </w:r>
      <w:r w:rsidR="00E22F2C" w:rsidRPr="00B1460D">
        <w:rPr>
          <w:rFonts w:ascii="Arial" w:hAnsi="Arial" w:cs="Arial"/>
          <w:sz w:val="22"/>
        </w:rPr>
        <w:t xml:space="preserve"> Finanční úřad pro Kraj Vysočina, územní pracoviště v Jihlavě, Tolstého 2, </w:t>
      </w:r>
    </w:p>
    <w:p w:rsidR="008F3030" w:rsidRPr="00B1460D" w:rsidRDefault="00E22F2C" w:rsidP="008F3030">
      <w:pPr>
        <w:spacing w:line="360" w:lineRule="auto"/>
        <w:rPr>
          <w:rFonts w:ascii="Arial" w:hAnsi="Arial" w:cs="Arial"/>
          <w:i/>
          <w:sz w:val="22"/>
        </w:rPr>
      </w:pPr>
      <w:r w:rsidRPr="00B1460D">
        <w:rPr>
          <w:rFonts w:ascii="Arial" w:hAnsi="Arial" w:cs="Arial"/>
          <w:sz w:val="22"/>
        </w:rPr>
        <w:t>příjemce je</w:t>
      </w:r>
      <w:r w:rsidR="008F3030" w:rsidRPr="00B1460D">
        <w:rPr>
          <w:rFonts w:ascii="Arial" w:hAnsi="Arial" w:cs="Arial"/>
          <w:sz w:val="22"/>
        </w:rPr>
        <w:t xml:space="preserve"> plátce DPH </w:t>
      </w:r>
    </w:p>
    <w:p w:rsidR="008F3030" w:rsidRPr="00B1460D" w:rsidRDefault="00E22F2C" w:rsidP="008F3030">
      <w:pPr>
        <w:spacing w:line="360" w:lineRule="auto"/>
        <w:rPr>
          <w:rFonts w:ascii="Arial" w:hAnsi="Arial" w:cs="Arial"/>
          <w:sz w:val="22"/>
        </w:rPr>
      </w:pPr>
      <w:r w:rsidRPr="00B1460D">
        <w:rPr>
          <w:rFonts w:ascii="Arial" w:hAnsi="Arial" w:cs="Arial"/>
          <w:sz w:val="22"/>
        </w:rPr>
        <w:t xml:space="preserve">příjemce </w:t>
      </w:r>
      <w:r w:rsidR="008F3030" w:rsidRPr="00B1460D">
        <w:rPr>
          <w:rFonts w:ascii="Arial" w:hAnsi="Arial" w:cs="Arial"/>
          <w:sz w:val="22"/>
        </w:rPr>
        <w:t>není malým/ středním podnikatelem</w:t>
      </w:r>
      <w:bookmarkStart w:id="1" w:name="_Ref202889786"/>
      <w:r w:rsidR="008F3030" w:rsidRPr="00B1460D">
        <w:rPr>
          <w:rFonts w:ascii="Arial" w:hAnsi="Arial" w:cs="Arial"/>
          <w:sz w:val="22"/>
          <w:vertAlign w:val="superscript"/>
        </w:rPr>
        <w:footnoteReference w:id="1"/>
      </w:r>
      <w:bookmarkEnd w:id="1"/>
    </w:p>
    <w:p w:rsidR="008F3030" w:rsidRPr="00B1460D" w:rsidRDefault="008F3030" w:rsidP="008F3030">
      <w:pPr>
        <w:spacing w:line="360" w:lineRule="auto"/>
        <w:rPr>
          <w:rFonts w:ascii="Arial" w:hAnsi="Arial" w:cs="Arial"/>
          <w:sz w:val="22"/>
        </w:rPr>
      </w:pPr>
      <w:r w:rsidRPr="00B1460D">
        <w:rPr>
          <w:rFonts w:ascii="Arial" w:hAnsi="Arial" w:cs="Arial"/>
          <w:sz w:val="22"/>
        </w:rPr>
        <w:t>bankovní spojení:</w:t>
      </w:r>
      <w:r w:rsidR="005A5B91" w:rsidRPr="00B1460D">
        <w:rPr>
          <w:rFonts w:ascii="Arial" w:hAnsi="Arial" w:cs="Arial"/>
          <w:sz w:val="22"/>
        </w:rPr>
        <w:tab/>
      </w:r>
      <w:r w:rsidR="00E22F2C" w:rsidRPr="00B1460D">
        <w:rPr>
          <w:rFonts w:ascii="Arial" w:hAnsi="Arial" w:cs="Arial"/>
          <w:sz w:val="22"/>
        </w:rPr>
        <w:t>Sberbank CZ, a.s.</w:t>
      </w:r>
    </w:p>
    <w:p w:rsidR="008F3030" w:rsidRPr="00B1460D" w:rsidRDefault="008F3030" w:rsidP="008F3030">
      <w:pPr>
        <w:spacing w:line="360" w:lineRule="auto"/>
        <w:rPr>
          <w:rFonts w:ascii="Arial" w:hAnsi="Arial" w:cs="Arial"/>
          <w:sz w:val="22"/>
        </w:rPr>
      </w:pPr>
      <w:r w:rsidRPr="00B1460D">
        <w:rPr>
          <w:rFonts w:ascii="Arial" w:hAnsi="Arial" w:cs="Arial"/>
          <w:sz w:val="22"/>
        </w:rPr>
        <w:t>číslo účtu projektu:</w:t>
      </w:r>
      <w:r w:rsidR="00E22F2C" w:rsidRPr="00B1460D">
        <w:rPr>
          <w:rFonts w:ascii="Arial" w:hAnsi="Arial" w:cs="Arial"/>
          <w:sz w:val="22"/>
        </w:rPr>
        <w:t xml:space="preserve"> </w:t>
      </w:r>
      <w:r w:rsidR="005A5B91" w:rsidRPr="00B1460D">
        <w:rPr>
          <w:rFonts w:ascii="Arial" w:hAnsi="Arial" w:cs="Arial"/>
          <w:sz w:val="22"/>
        </w:rPr>
        <w:tab/>
      </w:r>
      <w:r w:rsidR="00E22F2C" w:rsidRPr="00B1460D">
        <w:rPr>
          <w:rFonts w:ascii="Arial" w:hAnsi="Arial" w:cs="Arial"/>
          <w:sz w:val="22"/>
        </w:rPr>
        <w:t>4200455470/</w:t>
      </w:r>
      <w:r w:rsidR="00C17B4D" w:rsidRPr="00B1460D">
        <w:rPr>
          <w:rFonts w:ascii="Arial" w:hAnsi="Arial" w:cs="Arial"/>
          <w:sz w:val="22"/>
        </w:rPr>
        <w:t xml:space="preserve"> </w:t>
      </w:r>
      <w:r w:rsidR="00E22F2C" w:rsidRPr="00B1460D">
        <w:rPr>
          <w:rFonts w:ascii="Arial" w:hAnsi="Arial" w:cs="Arial"/>
          <w:sz w:val="22"/>
        </w:rPr>
        <w:t>6800</w:t>
      </w:r>
    </w:p>
    <w:p w:rsidR="008F3030" w:rsidRPr="00B1460D" w:rsidRDefault="008F3030" w:rsidP="008F3030">
      <w:pPr>
        <w:spacing w:line="360" w:lineRule="auto"/>
        <w:rPr>
          <w:rFonts w:ascii="Arial" w:hAnsi="Arial" w:cs="Arial"/>
          <w:sz w:val="22"/>
        </w:rPr>
      </w:pPr>
      <w:r w:rsidRPr="00B1460D">
        <w:rPr>
          <w:rFonts w:ascii="Arial" w:hAnsi="Arial" w:cs="Arial"/>
          <w:sz w:val="22"/>
        </w:rPr>
        <w:t>dále jen „</w:t>
      </w:r>
      <w:r w:rsidRPr="00B1460D">
        <w:rPr>
          <w:rFonts w:ascii="Arial" w:hAnsi="Arial" w:cs="Arial"/>
          <w:b/>
          <w:sz w:val="22"/>
        </w:rPr>
        <w:t>příjemce</w:t>
      </w:r>
      <w:r w:rsidRPr="00B1460D">
        <w:rPr>
          <w:rFonts w:ascii="Arial" w:hAnsi="Arial" w:cs="Arial"/>
          <w:sz w:val="22"/>
        </w:rPr>
        <w:t>“</w:t>
      </w:r>
    </w:p>
    <w:p w:rsidR="008F3030" w:rsidRPr="00B1460D" w:rsidRDefault="008F3030" w:rsidP="008F3030">
      <w:pPr>
        <w:jc w:val="both"/>
        <w:rPr>
          <w:rFonts w:ascii="Arial" w:hAnsi="Arial" w:cs="Arial"/>
        </w:rPr>
      </w:pPr>
    </w:p>
    <w:p w:rsidR="008F3030" w:rsidRPr="00B1460D" w:rsidRDefault="008F3030" w:rsidP="008F3030">
      <w:pPr>
        <w:spacing w:line="360" w:lineRule="auto"/>
        <w:ind w:left="357"/>
        <w:jc w:val="center"/>
        <w:rPr>
          <w:rFonts w:ascii="Arial" w:hAnsi="Arial" w:cs="Arial"/>
          <w:b/>
          <w:sz w:val="22"/>
        </w:rPr>
      </w:pPr>
      <w:r w:rsidRPr="00B1460D">
        <w:rPr>
          <w:rFonts w:ascii="Arial" w:hAnsi="Arial" w:cs="Arial"/>
          <w:b/>
          <w:sz w:val="22"/>
        </w:rPr>
        <w:t>I.</w:t>
      </w:r>
    </w:p>
    <w:p w:rsidR="008F3030" w:rsidRPr="00B1460D" w:rsidRDefault="008F3030" w:rsidP="008F3030">
      <w:pPr>
        <w:spacing w:line="360" w:lineRule="auto"/>
        <w:ind w:left="357"/>
        <w:jc w:val="center"/>
        <w:rPr>
          <w:rFonts w:ascii="Arial" w:hAnsi="Arial" w:cs="Arial"/>
          <w:b/>
          <w:sz w:val="22"/>
        </w:rPr>
      </w:pPr>
      <w:r w:rsidRPr="00B1460D">
        <w:rPr>
          <w:rFonts w:ascii="Arial" w:hAnsi="Arial" w:cs="Arial"/>
          <w:b/>
          <w:sz w:val="22"/>
        </w:rPr>
        <w:t>Předmět a účel smlouvy</w:t>
      </w:r>
    </w:p>
    <w:p w:rsidR="008F3030" w:rsidRPr="00B1460D" w:rsidRDefault="008F3030" w:rsidP="00355387">
      <w:pPr>
        <w:numPr>
          <w:ilvl w:val="0"/>
          <w:numId w:val="16"/>
        </w:numPr>
        <w:tabs>
          <w:tab w:val="clear" w:pos="720"/>
          <w:tab w:val="num" w:pos="426"/>
        </w:tabs>
        <w:spacing w:line="360" w:lineRule="auto"/>
        <w:ind w:left="426"/>
        <w:jc w:val="both"/>
        <w:rPr>
          <w:rFonts w:ascii="Arial" w:hAnsi="Arial" w:cs="Arial"/>
          <w:sz w:val="22"/>
        </w:rPr>
      </w:pPr>
      <w:r w:rsidRPr="00B1460D">
        <w:rPr>
          <w:rFonts w:ascii="Arial" w:hAnsi="Arial" w:cs="Arial"/>
          <w:sz w:val="22"/>
        </w:rPr>
        <w:t>Touto smlouvou poskytovatel poskytuje příjemci finanční podporu ve formě účelové dotace</w:t>
      </w:r>
      <w:r w:rsidR="0029794B" w:rsidRPr="00B1460D">
        <w:rPr>
          <w:rStyle w:val="Znakapoznpodarou"/>
          <w:rFonts w:ascii="Arial" w:hAnsi="Arial" w:cs="Arial"/>
          <w:sz w:val="22"/>
        </w:rPr>
        <w:footnoteReference w:id="2"/>
      </w:r>
      <w:r w:rsidRPr="00B1460D">
        <w:rPr>
          <w:rFonts w:ascii="Arial" w:hAnsi="Arial" w:cs="Arial"/>
          <w:sz w:val="22"/>
        </w:rPr>
        <w:t xml:space="preserve"> (dále jen „dotace“) v rámci Regionálního operačního programu NUTS 2 Jihovýchod (dále jen „ROP JV“) z rozpočtu Regionální rady regionu soudržnosti Jihovýchod (dále jen „Regionální rada“) na realizaci projektu, jehož předmětem je: </w:t>
      </w:r>
      <w:r w:rsidR="00C17B4D" w:rsidRPr="00B1460D">
        <w:rPr>
          <w:rFonts w:ascii="Arial" w:hAnsi="Arial" w:cs="Arial"/>
          <w:sz w:val="22"/>
        </w:rPr>
        <w:t xml:space="preserve">příprava, propagace, organizace vzdělávacích aktivit včetně vytvoření potřebných materiálů. </w:t>
      </w:r>
      <w:r w:rsidRPr="00B1460D">
        <w:rPr>
          <w:rFonts w:ascii="Arial" w:hAnsi="Arial" w:cs="Arial"/>
          <w:sz w:val="22"/>
        </w:rPr>
        <w:t xml:space="preserve">Předmět projektu je přesně definován v elektronické žádosti BENEFIT 7 a související dokumentaci projektu vedené poskytovatelem pod registračním č. </w:t>
      </w:r>
      <w:r w:rsidR="00C17B4D" w:rsidRPr="00B1460D">
        <w:rPr>
          <w:rFonts w:ascii="Arial" w:hAnsi="Arial" w:cs="Arial"/>
          <w:sz w:val="22"/>
        </w:rPr>
        <w:t>CZ.1.11/4.2.00/39. 01618.</w:t>
      </w:r>
    </w:p>
    <w:p w:rsidR="008F3030" w:rsidRPr="00B1460D" w:rsidRDefault="008F3030" w:rsidP="008F3030">
      <w:pPr>
        <w:spacing w:line="360" w:lineRule="auto"/>
        <w:ind w:left="708"/>
        <w:jc w:val="both"/>
        <w:rPr>
          <w:rFonts w:ascii="Arial" w:hAnsi="Arial" w:cs="Arial"/>
        </w:rPr>
      </w:pPr>
    </w:p>
    <w:p w:rsidR="008F3030" w:rsidRPr="00B1460D" w:rsidRDefault="008F3030" w:rsidP="00355387">
      <w:pPr>
        <w:numPr>
          <w:ilvl w:val="0"/>
          <w:numId w:val="16"/>
        </w:numPr>
        <w:tabs>
          <w:tab w:val="clear" w:pos="720"/>
        </w:tabs>
        <w:spacing w:line="360" w:lineRule="auto"/>
        <w:ind w:left="426"/>
        <w:jc w:val="both"/>
        <w:rPr>
          <w:rFonts w:ascii="Arial" w:hAnsi="Arial" w:cs="Arial"/>
          <w:sz w:val="22"/>
        </w:rPr>
      </w:pPr>
      <w:r w:rsidRPr="00B1460D">
        <w:rPr>
          <w:rFonts w:ascii="Arial" w:hAnsi="Arial" w:cs="Arial"/>
          <w:sz w:val="22"/>
        </w:rPr>
        <w:t>Příjemce finanční podporu přijímá a zavazuje se projekt realizovat a zachovat jej po dobu stanovené udržitelnosti projektu</w:t>
      </w:r>
      <w:r w:rsidR="00501491" w:rsidRPr="00B1460D">
        <w:rPr>
          <w:rFonts w:ascii="Arial" w:hAnsi="Arial" w:cs="Arial"/>
          <w:sz w:val="22"/>
        </w:rPr>
        <w:t>, a to vše v souladu s touto smlouvou, elektronickou žádostí BENEFIT 7, účelem a cílem, na který je finanční podpora poskytována</w:t>
      </w:r>
      <w:r w:rsidRPr="00B1460D">
        <w:rPr>
          <w:rFonts w:ascii="Arial" w:hAnsi="Arial" w:cs="Arial"/>
          <w:sz w:val="22"/>
        </w:rPr>
        <w:t>.</w:t>
      </w:r>
    </w:p>
    <w:p w:rsidR="00C17B4D" w:rsidRPr="00B1460D" w:rsidRDefault="00C17B4D" w:rsidP="00C17B4D">
      <w:pPr>
        <w:spacing w:line="360" w:lineRule="auto"/>
        <w:ind w:left="720"/>
        <w:jc w:val="both"/>
        <w:rPr>
          <w:rFonts w:ascii="Arial" w:hAnsi="Arial" w:cs="Arial"/>
          <w:sz w:val="22"/>
        </w:rPr>
      </w:pPr>
    </w:p>
    <w:p w:rsidR="008F3030" w:rsidRPr="00B1460D" w:rsidRDefault="008F3030" w:rsidP="00355387">
      <w:pPr>
        <w:numPr>
          <w:ilvl w:val="0"/>
          <w:numId w:val="16"/>
        </w:numPr>
        <w:tabs>
          <w:tab w:val="clear" w:pos="720"/>
        </w:tabs>
        <w:spacing w:line="360" w:lineRule="auto"/>
        <w:ind w:left="426"/>
        <w:jc w:val="both"/>
        <w:rPr>
          <w:rFonts w:ascii="Arial" w:hAnsi="Arial" w:cs="Arial"/>
          <w:sz w:val="22"/>
        </w:rPr>
      </w:pPr>
      <w:r w:rsidRPr="00B1460D">
        <w:rPr>
          <w:rFonts w:ascii="Arial" w:hAnsi="Arial" w:cs="Arial"/>
          <w:sz w:val="22"/>
        </w:rPr>
        <w:t>Dotace je poskytována pouze na způsobilé výdaje projektu uvedené v rozpočtu projektu (v souladu s Prováděcím dokumentem ROP NUTS 2 Jihovýchod, s Příručkou pro žadatele a příjemce ROP NUTS 2 Jihovýchod a Metodickou příručkou způsobilých výdajů pro programy spolufinancované ze strukturálních fondů a Fondu soudržnosti na programové období 2007–2013</w:t>
      </w:r>
      <w:r w:rsidR="00BD4341" w:rsidRPr="00B1460D">
        <w:rPr>
          <w:rFonts w:ascii="Arial" w:hAnsi="Arial" w:cs="Arial"/>
          <w:sz w:val="22"/>
        </w:rPr>
        <w:t>)</w:t>
      </w:r>
      <w:r w:rsidR="00501491" w:rsidRPr="00B1460D">
        <w:rPr>
          <w:rFonts w:ascii="Arial" w:hAnsi="Arial" w:cs="Arial"/>
          <w:sz w:val="22"/>
        </w:rPr>
        <w:t xml:space="preserve"> a příjemce za podmínek v nich uvedených dotaci přijímá.</w:t>
      </w:r>
      <w:r w:rsidRPr="00B1460D">
        <w:rPr>
          <w:rFonts w:ascii="Arial" w:hAnsi="Arial" w:cs="Arial"/>
          <w:sz w:val="22"/>
        </w:rPr>
        <w:t xml:space="preserve"> Podrobný rozpis způsobilých výdajů projektu včetně odhadu výdajů a příjmů z výsledků projektu uvádí žádost ve znění k datu </w:t>
      </w:r>
      <w:r w:rsidR="00501491" w:rsidRPr="00B1460D">
        <w:rPr>
          <w:rFonts w:ascii="Arial" w:hAnsi="Arial" w:cs="Arial"/>
          <w:sz w:val="22"/>
        </w:rPr>
        <w:t xml:space="preserve">uzavření </w:t>
      </w:r>
      <w:r w:rsidRPr="00B1460D">
        <w:rPr>
          <w:rFonts w:ascii="Arial" w:hAnsi="Arial" w:cs="Arial"/>
          <w:sz w:val="22"/>
        </w:rPr>
        <w:t>smlouvy.</w:t>
      </w:r>
    </w:p>
    <w:p w:rsidR="008F3030" w:rsidRPr="00B1460D" w:rsidRDefault="008F3030" w:rsidP="008F3030">
      <w:pPr>
        <w:ind w:left="360"/>
        <w:jc w:val="both"/>
        <w:rPr>
          <w:rFonts w:ascii="Arial" w:hAnsi="Arial" w:cs="Arial"/>
        </w:rPr>
      </w:pPr>
    </w:p>
    <w:p w:rsidR="008F3030" w:rsidRPr="00B1460D" w:rsidRDefault="008F3030" w:rsidP="00355387">
      <w:pPr>
        <w:numPr>
          <w:ilvl w:val="0"/>
          <w:numId w:val="16"/>
        </w:numPr>
        <w:tabs>
          <w:tab w:val="clear" w:pos="720"/>
        </w:tabs>
        <w:spacing w:line="360" w:lineRule="auto"/>
        <w:ind w:left="426"/>
        <w:jc w:val="both"/>
        <w:rPr>
          <w:rFonts w:ascii="Arial" w:hAnsi="Arial" w:cs="Arial"/>
          <w:sz w:val="22"/>
        </w:rPr>
      </w:pPr>
      <w:r w:rsidRPr="00B1460D">
        <w:rPr>
          <w:rFonts w:ascii="Arial" w:hAnsi="Arial" w:cs="Arial"/>
          <w:sz w:val="22"/>
        </w:rPr>
        <w:t>Příjemce se zavazuje naplnit v rámci realizace projektu tyto monitorovací ukazatele: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276"/>
        <w:gridCol w:w="1276"/>
        <w:gridCol w:w="1307"/>
      </w:tblGrid>
      <w:tr w:rsidR="008F3030" w:rsidRPr="00B1460D" w:rsidTr="002A6B63">
        <w:tc>
          <w:tcPr>
            <w:tcW w:w="4819" w:type="dxa"/>
          </w:tcPr>
          <w:p w:rsidR="008F3030" w:rsidRPr="00B1460D" w:rsidRDefault="008F3030" w:rsidP="00872ECE">
            <w:pPr>
              <w:pStyle w:val="p1"/>
              <w:numPr>
                <w:ilvl w:val="0"/>
                <w:numId w:val="0"/>
              </w:numPr>
              <w:tabs>
                <w:tab w:val="left" w:pos="360"/>
              </w:tabs>
              <w:adjustRightInd/>
              <w:spacing w:line="360" w:lineRule="auto"/>
              <w:textAlignment w:val="auto"/>
              <w:rPr>
                <w:rFonts w:ascii="Arial" w:hAnsi="Arial" w:cs="Arial"/>
                <w:snapToGrid w:val="0"/>
                <w:u w:val="single"/>
              </w:rPr>
            </w:pPr>
            <w:r w:rsidRPr="00B1460D">
              <w:rPr>
                <w:rFonts w:ascii="Arial" w:hAnsi="Arial" w:cs="Arial"/>
                <w:snapToGrid w:val="0"/>
                <w:sz w:val="22"/>
              </w:rPr>
              <w:t>Ukazatel</w:t>
            </w:r>
          </w:p>
        </w:tc>
        <w:tc>
          <w:tcPr>
            <w:tcW w:w="1276" w:type="dxa"/>
          </w:tcPr>
          <w:p w:rsidR="008F3030" w:rsidRPr="00B1460D" w:rsidRDefault="008F3030" w:rsidP="00872ECE">
            <w:pPr>
              <w:pStyle w:val="p1"/>
              <w:numPr>
                <w:ilvl w:val="0"/>
                <w:numId w:val="0"/>
              </w:numPr>
              <w:tabs>
                <w:tab w:val="left" w:pos="360"/>
              </w:tabs>
              <w:adjustRightInd/>
              <w:spacing w:line="360" w:lineRule="auto"/>
              <w:textAlignment w:val="auto"/>
              <w:rPr>
                <w:rFonts w:ascii="Arial" w:hAnsi="Arial" w:cs="Arial"/>
                <w:snapToGrid w:val="0"/>
                <w:sz w:val="22"/>
              </w:rPr>
            </w:pPr>
            <w:r w:rsidRPr="00B1460D">
              <w:rPr>
                <w:rFonts w:ascii="Arial" w:hAnsi="Arial" w:cs="Arial"/>
                <w:snapToGrid w:val="0"/>
                <w:sz w:val="22"/>
              </w:rPr>
              <w:t>Měrná jednotka</w:t>
            </w:r>
          </w:p>
        </w:tc>
        <w:tc>
          <w:tcPr>
            <w:tcW w:w="1276" w:type="dxa"/>
            <w:vAlign w:val="center"/>
          </w:tcPr>
          <w:p w:rsidR="008F3030" w:rsidRPr="00B1460D" w:rsidRDefault="008F3030" w:rsidP="00872ECE">
            <w:pPr>
              <w:pStyle w:val="p1"/>
              <w:numPr>
                <w:ilvl w:val="0"/>
                <w:numId w:val="0"/>
              </w:numPr>
              <w:tabs>
                <w:tab w:val="left" w:pos="360"/>
              </w:tabs>
              <w:adjustRightInd/>
              <w:spacing w:line="360" w:lineRule="auto"/>
              <w:textAlignment w:val="auto"/>
              <w:rPr>
                <w:rFonts w:ascii="Arial" w:hAnsi="Arial" w:cs="Arial"/>
                <w:snapToGrid w:val="0"/>
                <w:sz w:val="22"/>
              </w:rPr>
            </w:pPr>
            <w:r w:rsidRPr="00B1460D">
              <w:rPr>
                <w:rFonts w:ascii="Arial" w:hAnsi="Arial" w:cs="Arial"/>
                <w:snapToGrid w:val="0"/>
                <w:sz w:val="22"/>
              </w:rPr>
              <w:t>Počáteční hodnota</w:t>
            </w:r>
          </w:p>
        </w:tc>
        <w:tc>
          <w:tcPr>
            <w:tcW w:w="1307" w:type="dxa"/>
          </w:tcPr>
          <w:p w:rsidR="008F3030" w:rsidRPr="00B1460D" w:rsidRDefault="008F3030" w:rsidP="00872ECE">
            <w:pPr>
              <w:pStyle w:val="p1"/>
              <w:numPr>
                <w:ilvl w:val="0"/>
                <w:numId w:val="0"/>
              </w:numPr>
              <w:tabs>
                <w:tab w:val="left" w:pos="360"/>
              </w:tabs>
              <w:adjustRightInd/>
              <w:spacing w:line="360" w:lineRule="auto"/>
              <w:textAlignment w:val="auto"/>
              <w:rPr>
                <w:rFonts w:ascii="Arial" w:hAnsi="Arial" w:cs="Arial"/>
                <w:snapToGrid w:val="0"/>
                <w:sz w:val="22"/>
              </w:rPr>
            </w:pPr>
            <w:r w:rsidRPr="00B1460D">
              <w:rPr>
                <w:rFonts w:ascii="Arial" w:hAnsi="Arial" w:cs="Arial"/>
                <w:snapToGrid w:val="0"/>
                <w:sz w:val="22"/>
              </w:rPr>
              <w:t>Plánovaná hodnota</w:t>
            </w:r>
          </w:p>
        </w:tc>
      </w:tr>
      <w:tr w:rsidR="008F3030" w:rsidRPr="00B1460D" w:rsidTr="002A6B63">
        <w:tc>
          <w:tcPr>
            <w:tcW w:w="4819" w:type="dxa"/>
          </w:tcPr>
          <w:p w:rsidR="008F3030" w:rsidRPr="00B1460D" w:rsidRDefault="00C17B4D" w:rsidP="00872ECE">
            <w:pPr>
              <w:spacing w:line="360" w:lineRule="auto"/>
              <w:jc w:val="both"/>
              <w:rPr>
                <w:rFonts w:ascii="Arial" w:hAnsi="Arial" w:cs="Arial"/>
                <w:sz w:val="22"/>
              </w:rPr>
            </w:pPr>
            <w:r w:rsidRPr="00B1460D">
              <w:rPr>
                <w:rFonts w:ascii="Arial" w:hAnsi="Arial" w:cs="Arial"/>
                <w:sz w:val="22"/>
              </w:rPr>
              <w:t>Počet vytvořených metodických a technicko- informačních materiálů</w:t>
            </w:r>
          </w:p>
        </w:tc>
        <w:tc>
          <w:tcPr>
            <w:tcW w:w="1276" w:type="dxa"/>
          </w:tcPr>
          <w:p w:rsidR="008F3030" w:rsidRPr="00B1460D" w:rsidRDefault="00E75165" w:rsidP="00872ECE">
            <w:pPr>
              <w:spacing w:line="360" w:lineRule="auto"/>
              <w:jc w:val="both"/>
              <w:rPr>
                <w:rFonts w:ascii="Arial" w:hAnsi="Arial" w:cs="Arial"/>
                <w:sz w:val="22"/>
              </w:rPr>
            </w:pPr>
            <w:r w:rsidRPr="00B1460D">
              <w:rPr>
                <w:rFonts w:ascii="Arial" w:hAnsi="Arial" w:cs="Arial"/>
                <w:sz w:val="22"/>
              </w:rPr>
              <w:t>p</w:t>
            </w:r>
            <w:r w:rsidR="00C17B4D" w:rsidRPr="00B1460D">
              <w:rPr>
                <w:rFonts w:ascii="Arial" w:hAnsi="Arial" w:cs="Arial"/>
                <w:sz w:val="22"/>
              </w:rPr>
              <w:t>očet</w:t>
            </w:r>
          </w:p>
        </w:tc>
        <w:tc>
          <w:tcPr>
            <w:tcW w:w="1276" w:type="dxa"/>
          </w:tcPr>
          <w:p w:rsidR="008F3030" w:rsidRPr="00B1460D" w:rsidRDefault="00C17B4D" w:rsidP="00872ECE">
            <w:pPr>
              <w:spacing w:line="360" w:lineRule="auto"/>
              <w:ind w:left="720"/>
              <w:jc w:val="right"/>
              <w:rPr>
                <w:rFonts w:ascii="Arial" w:hAnsi="Arial" w:cs="Arial"/>
                <w:sz w:val="22"/>
              </w:rPr>
            </w:pPr>
            <w:r w:rsidRPr="00B1460D">
              <w:rPr>
                <w:rFonts w:ascii="Arial" w:hAnsi="Arial" w:cs="Arial"/>
                <w:sz w:val="22"/>
              </w:rPr>
              <w:t>0</w:t>
            </w:r>
          </w:p>
        </w:tc>
        <w:tc>
          <w:tcPr>
            <w:tcW w:w="1307" w:type="dxa"/>
          </w:tcPr>
          <w:p w:rsidR="008F3030" w:rsidRPr="00B1460D" w:rsidRDefault="00E75165" w:rsidP="00872ECE">
            <w:pPr>
              <w:spacing w:line="360" w:lineRule="auto"/>
              <w:ind w:left="720"/>
              <w:jc w:val="right"/>
              <w:rPr>
                <w:rFonts w:ascii="Arial" w:hAnsi="Arial" w:cs="Arial"/>
                <w:sz w:val="22"/>
              </w:rPr>
            </w:pPr>
            <w:r w:rsidRPr="00B1460D">
              <w:rPr>
                <w:rFonts w:ascii="Arial" w:hAnsi="Arial" w:cs="Arial"/>
                <w:sz w:val="22"/>
              </w:rPr>
              <w:t>4</w:t>
            </w:r>
          </w:p>
        </w:tc>
      </w:tr>
      <w:tr w:rsidR="008F3030" w:rsidRPr="00B1460D" w:rsidTr="002A6B63">
        <w:tc>
          <w:tcPr>
            <w:tcW w:w="4819" w:type="dxa"/>
          </w:tcPr>
          <w:p w:rsidR="008F3030" w:rsidRPr="00B1460D" w:rsidRDefault="00C17B4D" w:rsidP="00872ECE">
            <w:pPr>
              <w:spacing w:line="360" w:lineRule="auto"/>
              <w:jc w:val="both"/>
              <w:rPr>
                <w:rFonts w:ascii="Arial" w:hAnsi="Arial" w:cs="Arial"/>
                <w:sz w:val="22"/>
              </w:rPr>
            </w:pPr>
            <w:r w:rsidRPr="00B1460D">
              <w:rPr>
                <w:rFonts w:ascii="Arial" w:hAnsi="Arial" w:cs="Arial"/>
                <w:sz w:val="22"/>
              </w:rPr>
              <w:t>Počet vyrobených propagačních a informa</w:t>
            </w:r>
            <w:r w:rsidR="002F6270" w:rsidRPr="00B1460D">
              <w:rPr>
                <w:rFonts w:ascii="Arial" w:hAnsi="Arial" w:cs="Arial"/>
                <w:sz w:val="22"/>
              </w:rPr>
              <w:t>čn</w:t>
            </w:r>
            <w:r w:rsidRPr="00B1460D">
              <w:rPr>
                <w:rFonts w:ascii="Arial" w:hAnsi="Arial" w:cs="Arial"/>
                <w:sz w:val="22"/>
              </w:rPr>
              <w:t>ích předmětů</w:t>
            </w:r>
          </w:p>
        </w:tc>
        <w:tc>
          <w:tcPr>
            <w:tcW w:w="1276" w:type="dxa"/>
          </w:tcPr>
          <w:p w:rsidR="008F3030" w:rsidRPr="00B1460D" w:rsidRDefault="00E75165" w:rsidP="00872ECE">
            <w:pPr>
              <w:spacing w:line="360" w:lineRule="auto"/>
              <w:jc w:val="both"/>
              <w:rPr>
                <w:rFonts w:ascii="Arial" w:hAnsi="Arial" w:cs="Arial"/>
                <w:sz w:val="22"/>
              </w:rPr>
            </w:pPr>
            <w:r w:rsidRPr="00B1460D">
              <w:rPr>
                <w:rFonts w:ascii="Arial" w:hAnsi="Arial" w:cs="Arial"/>
                <w:sz w:val="22"/>
              </w:rPr>
              <w:t>p</w:t>
            </w:r>
            <w:r w:rsidR="00C17B4D" w:rsidRPr="00B1460D">
              <w:rPr>
                <w:rFonts w:ascii="Arial" w:hAnsi="Arial" w:cs="Arial"/>
                <w:sz w:val="22"/>
              </w:rPr>
              <w:t>očet</w:t>
            </w:r>
          </w:p>
        </w:tc>
        <w:tc>
          <w:tcPr>
            <w:tcW w:w="1276" w:type="dxa"/>
          </w:tcPr>
          <w:p w:rsidR="008F3030" w:rsidRPr="00B1460D" w:rsidRDefault="00C17B4D" w:rsidP="00872ECE">
            <w:pPr>
              <w:spacing w:line="360" w:lineRule="auto"/>
              <w:ind w:left="720"/>
              <w:jc w:val="right"/>
              <w:rPr>
                <w:rFonts w:ascii="Arial" w:hAnsi="Arial" w:cs="Arial"/>
                <w:sz w:val="22"/>
              </w:rPr>
            </w:pPr>
            <w:r w:rsidRPr="00B1460D">
              <w:rPr>
                <w:rFonts w:ascii="Arial" w:hAnsi="Arial" w:cs="Arial"/>
                <w:sz w:val="22"/>
              </w:rPr>
              <w:t>0</w:t>
            </w:r>
          </w:p>
        </w:tc>
        <w:tc>
          <w:tcPr>
            <w:tcW w:w="1307" w:type="dxa"/>
          </w:tcPr>
          <w:p w:rsidR="008F3030" w:rsidRPr="00B1460D" w:rsidRDefault="00E75165" w:rsidP="00872ECE">
            <w:pPr>
              <w:spacing w:line="360" w:lineRule="auto"/>
              <w:ind w:left="720"/>
              <w:jc w:val="right"/>
              <w:rPr>
                <w:rFonts w:ascii="Arial" w:hAnsi="Arial" w:cs="Arial"/>
                <w:sz w:val="22"/>
              </w:rPr>
            </w:pPr>
            <w:r w:rsidRPr="00B1460D">
              <w:rPr>
                <w:rFonts w:ascii="Arial" w:hAnsi="Arial" w:cs="Arial"/>
                <w:sz w:val="22"/>
              </w:rPr>
              <w:t>3</w:t>
            </w:r>
          </w:p>
          <w:p w:rsidR="00E75165" w:rsidRPr="00B1460D" w:rsidRDefault="00E75165" w:rsidP="00872ECE">
            <w:pPr>
              <w:spacing w:line="360" w:lineRule="auto"/>
              <w:ind w:left="720"/>
              <w:jc w:val="right"/>
              <w:rPr>
                <w:rFonts w:ascii="Arial" w:hAnsi="Arial" w:cs="Arial"/>
                <w:sz w:val="22"/>
              </w:rPr>
            </w:pPr>
          </w:p>
        </w:tc>
      </w:tr>
      <w:tr w:rsidR="00C17B4D" w:rsidRPr="00B1460D" w:rsidTr="002A6B63">
        <w:tc>
          <w:tcPr>
            <w:tcW w:w="4819" w:type="dxa"/>
          </w:tcPr>
          <w:p w:rsidR="00C17B4D" w:rsidRPr="00B1460D" w:rsidRDefault="00C17B4D" w:rsidP="00C17B4D">
            <w:pPr>
              <w:spacing w:line="360" w:lineRule="auto"/>
              <w:jc w:val="both"/>
              <w:rPr>
                <w:rFonts w:ascii="Arial" w:hAnsi="Arial" w:cs="Arial"/>
                <w:sz w:val="22"/>
              </w:rPr>
            </w:pPr>
            <w:r w:rsidRPr="00B1460D">
              <w:rPr>
                <w:rFonts w:ascii="Arial" w:hAnsi="Arial" w:cs="Arial"/>
                <w:sz w:val="22"/>
              </w:rPr>
              <w:t xml:space="preserve">Počet uskutečněných školení, seminářů, workshopů a konferencí </w:t>
            </w:r>
          </w:p>
        </w:tc>
        <w:tc>
          <w:tcPr>
            <w:tcW w:w="1276" w:type="dxa"/>
          </w:tcPr>
          <w:p w:rsidR="00C17B4D" w:rsidRPr="00B1460D" w:rsidRDefault="00C17B4D" w:rsidP="00872ECE">
            <w:pPr>
              <w:spacing w:line="360" w:lineRule="auto"/>
              <w:jc w:val="both"/>
              <w:rPr>
                <w:rFonts w:ascii="Arial" w:hAnsi="Arial" w:cs="Arial"/>
                <w:sz w:val="22"/>
              </w:rPr>
            </w:pPr>
            <w:r w:rsidRPr="00B1460D">
              <w:rPr>
                <w:rFonts w:ascii="Arial" w:hAnsi="Arial" w:cs="Arial"/>
                <w:sz w:val="22"/>
              </w:rPr>
              <w:t>počet</w:t>
            </w:r>
          </w:p>
        </w:tc>
        <w:tc>
          <w:tcPr>
            <w:tcW w:w="1276" w:type="dxa"/>
          </w:tcPr>
          <w:p w:rsidR="00C17B4D" w:rsidRPr="00B1460D" w:rsidRDefault="00C17B4D" w:rsidP="00872ECE">
            <w:pPr>
              <w:spacing w:line="360" w:lineRule="auto"/>
              <w:ind w:left="720"/>
              <w:jc w:val="right"/>
              <w:rPr>
                <w:rFonts w:ascii="Arial" w:hAnsi="Arial" w:cs="Arial"/>
                <w:sz w:val="22"/>
              </w:rPr>
            </w:pPr>
            <w:r w:rsidRPr="00B1460D">
              <w:rPr>
                <w:rFonts w:ascii="Arial" w:hAnsi="Arial" w:cs="Arial"/>
                <w:sz w:val="22"/>
              </w:rPr>
              <w:t>0</w:t>
            </w:r>
          </w:p>
        </w:tc>
        <w:tc>
          <w:tcPr>
            <w:tcW w:w="1307" w:type="dxa"/>
          </w:tcPr>
          <w:p w:rsidR="00C17B4D" w:rsidRPr="00B1460D" w:rsidRDefault="00E75165" w:rsidP="00872ECE">
            <w:pPr>
              <w:spacing w:line="360" w:lineRule="auto"/>
              <w:ind w:left="720"/>
              <w:jc w:val="right"/>
              <w:rPr>
                <w:rFonts w:ascii="Arial" w:hAnsi="Arial" w:cs="Arial"/>
                <w:sz w:val="22"/>
              </w:rPr>
            </w:pPr>
            <w:r w:rsidRPr="00B1460D">
              <w:rPr>
                <w:rFonts w:ascii="Arial" w:hAnsi="Arial" w:cs="Arial"/>
                <w:sz w:val="22"/>
              </w:rPr>
              <w:t>25</w:t>
            </w:r>
          </w:p>
        </w:tc>
      </w:tr>
      <w:tr w:rsidR="00C17B4D" w:rsidRPr="00B1460D" w:rsidTr="002A6B63">
        <w:tc>
          <w:tcPr>
            <w:tcW w:w="4819" w:type="dxa"/>
          </w:tcPr>
          <w:p w:rsidR="00C17B4D" w:rsidRPr="00B1460D" w:rsidRDefault="00C17B4D" w:rsidP="00C17B4D">
            <w:pPr>
              <w:spacing w:line="360" w:lineRule="auto"/>
              <w:jc w:val="both"/>
              <w:rPr>
                <w:rFonts w:ascii="Arial" w:hAnsi="Arial" w:cs="Arial"/>
                <w:sz w:val="22"/>
              </w:rPr>
            </w:pPr>
            <w:r w:rsidRPr="00B1460D">
              <w:rPr>
                <w:rFonts w:ascii="Arial" w:hAnsi="Arial" w:cs="Arial"/>
                <w:sz w:val="22"/>
              </w:rPr>
              <w:t>Počet osob, které se zúčastnily vzdělávacích kurzů zaměřených na posílení absorpční kapacity</w:t>
            </w:r>
          </w:p>
        </w:tc>
        <w:tc>
          <w:tcPr>
            <w:tcW w:w="1276" w:type="dxa"/>
          </w:tcPr>
          <w:p w:rsidR="00C17B4D" w:rsidRPr="00B1460D" w:rsidRDefault="00C17B4D" w:rsidP="00872ECE">
            <w:pPr>
              <w:spacing w:line="360" w:lineRule="auto"/>
              <w:jc w:val="both"/>
              <w:rPr>
                <w:rFonts w:ascii="Arial" w:hAnsi="Arial" w:cs="Arial"/>
                <w:sz w:val="22"/>
              </w:rPr>
            </w:pPr>
            <w:r w:rsidRPr="00B1460D">
              <w:rPr>
                <w:rFonts w:ascii="Arial" w:hAnsi="Arial" w:cs="Arial"/>
                <w:sz w:val="22"/>
              </w:rPr>
              <w:t>počet</w:t>
            </w:r>
          </w:p>
        </w:tc>
        <w:tc>
          <w:tcPr>
            <w:tcW w:w="1276" w:type="dxa"/>
          </w:tcPr>
          <w:p w:rsidR="00C17B4D" w:rsidRPr="00B1460D" w:rsidRDefault="00C17B4D" w:rsidP="00872ECE">
            <w:pPr>
              <w:spacing w:line="360" w:lineRule="auto"/>
              <w:ind w:left="720"/>
              <w:jc w:val="right"/>
              <w:rPr>
                <w:rFonts w:ascii="Arial" w:hAnsi="Arial" w:cs="Arial"/>
                <w:sz w:val="22"/>
              </w:rPr>
            </w:pPr>
            <w:r w:rsidRPr="00B1460D">
              <w:rPr>
                <w:rFonts w:ascii="Arial" w:hAnsi="Arial" w:cs="Arial"/>
                <w:sz w:val="22"/>
              </w:rPr>
              <w:t>0</w:t>
            </w:r>
          </w:p>
        </w:tc>
        <w:tc>
          <w:tcPr>
            <w:tcW w:w="1307" w:type="dxa"/>
          </w:tcPr>
          <w:p w:rsidR="00C17B4D" w:rsidRPr="00B1460D" w:rsidRDefault="00E75165" w:rsidP="00872ECE">
            <w:pPr>
              <w:spacing w:line="360" w:lineRule="auto"/>
              <w:ind w:left="720"/>
              <w:jc w:val="right"/>
              <w:rPr>
                <w:rFonts w:ascii="Arial" w:hAnsi="Arial" w:cs="Arial"/>
                <w:sz w:val="22"/>
              </w:rPr>
            </w:pPr>
            <w:r w:rsidRPr="00B1460D">
              <w:rPr>
                <w:rFonts w:ascii="Arial" w:hAnsi="Arial" w:cs="Arial"/>
                <w:sz w:val="22"/>
              </w:rPr>
              <w:t>620</w:t>
            </w:r>
          </w:p>
        </w:tc>
      </w:tr>
    </w:tbl>
    <w:p w:rsidR="008F3030" w:rsidRPr="00B1460D" w:rsidRDefault="008F3030" w:rsidP="002A6B63">
      <w:pPr>
        <w:spacing w:line="360" w:lineRule="auto"/>
        <w:ind w:left="426"/>
        <w:jc w:val="both"/>
        <w:rPr>
          <w:rFonts w:ascii="Arial" w:hAnsi="Arial" w:cs="Arial"/>
          <w:sz w:val="22"/>
        </w:rPr>
      </w:pPr>
      <w:r w:rsidRPr="00B1460D">
        <w:rPr>
          <w:rFonts w:ascii="Arial" w:hAnsi="Arial" w:cs="Arial"/>
          <w:sz w:val="22"/>
        </w:rPr>
        <w:t xml:space="preserve">Příjemce se zavazuje uchovat monitorovací ukazatele dle bodu 4 tohoto článku po dobu </w:t>
      </w:r>
      <w:r w:rsidR="006C3154" w:rsidRPr="00B1460D">
        <w:rPr>
          <w:rFonts w:ascii="Arial" w:hAnsi="Arial" w:cs="Arial"/>
          <w:sz w:val="22"/>
        </w:rPr>
        <w:t>udržitelnosti, tj. po dobu 5 let od data skutečného předložení závěrečné žádosti o platbu</w:t>
      </w:r>
      <w:r w:rsidR="00932BAF" w:rsidRPr="00B1460D">
        <w:rPr>
          <w:rStyle w:val="Znakapoznpodarou"/>
          <w:rFonts w:ascii="Arial" w:hAnsi="Arial" w:cs="Arial"/>
          <w:sz w:val="22"/>
        </w:rPr>
        <w:footnoteReference w:id="3"/>
      </w:r>
      <w:r w:rsidR="006C3154" w:rsidRPr="00B1460D">
        <w:rPr>
          <w:rFonts w:ascii="Arial" w:hAnsi="Arial" w:cs="Arial"/>
          <w:sz w:val="22"/>
        </w:rPr>
        <w:t>.</w:t>
      </w:r>
    </w:p>
    <w:p w:rsidR="008F3030" w:rsidRPr="00B1460D" w:rsidRDefault="008F3030" w:rsidP="008F3030">
      <w:pPr>
        <w:pStyle w:val="p1"/>
        <w:numPr>
          <w:ilvl w:val="0"/>
          <w:numId w:val="0"/>
        </w:numPr>
        <w:adjustRightInd/>
        <w:spacing w:line="240" w:lineRule="auto"/>
        <w:ind w:left="540"/>
        <w:textAlignment w:val="auto"/>
        <w:rPr>
          <w:rFonts w:ascii="Arial" w:hAnsi="Arial" w:cs="Arial"/>
          <w:snapToGrid w:val="0"/>
        </w:rPr>
      </w:pPr>
    </w:p>
    <w:p w:rsidR="008F3030" w:rsidRPr="00B1460D" w:rsidRDefault="008F3030" w:rsidP="00355387">
      <w:pPr>
        <w:numPr>
          <w:ilvl w:val="0"/>
          <w:numId w:val="16"/>
        </w:numPr>
        <w:tabs>
          <w:tab w:val="clear" w:pos="720"/>
          <w:tab w:val="num" w:pos="426"/>
        </w:tabs>
        <w:spacing w:line="360" w:lineRule="auto"/>
        <w:ind w:left="426" w:hanging="426"/>
        <w:jc w:val="both"/>
        <w:rPr>
          <w:rFonts w:ascii="Arial" w:hAnsi="Arial" w:cs="Arial"/>
          <w:sz w:val="22"/>
        </w:rPr>
      </w:pPr>
      <w:r w:rsidRPr="00B1460D">
        <w:rPr>
          <w:rFonts w:ascii="Arial" w:hAnsi="Arial" w:cs="Arial"/>
          <w:sz w:val="22"/>
        </w:rPr>
        <w:t>Dotace se poskytuje na základě rozhodnutí poskytovatele – Usnesení Výboru Regionální rady dle § 16e odst. 1 odstavec c) zákona č. 248/2000 Sb., o podpoře regionálního rozvoje, ve znění pozdějších předpisů, ze dne</w:t>
      </w:r>
      <w:r w:rsidR="00643C2C" w:rsidRPr="00B1460D">
        <w:rPr>
          <w:rFonts w:ascii="Arial" w:hAnsi="Arial" w:cs="Arial"/>
          <w:sz w:val="22"/>
        </w:rPr>
        <w:t xml:space="preserve"> 4. 12. 2013 </w:t>
      </w:r>
      <w:r w:rsidRPr="00B1460D">
        <w:rPr>
          <w:rFonts w:ascii="Arial" w:hAnsi="Arial" w:cs="Arial"/>
          <w:sz w:val="22"/>
        </w:rPr>
        <w:t>číslo usnesení</w:t>
      </w:r>
      <w:r w:rsidR="00643C2C" w:rsidRPr="00B1460D">
        <w:rPr>
          <w:rFonts w:ascii="Arial" w:hAnsi="Arial" w:cs="Arial"/>
          <w:sz w:val="22"/>
        </w:rPr>
        <w:t xml:space="preserve"> ÚRR 45</w:t>
      </w:r>
      <w:r w:rsidR="0074596D" w:rsidRPr="00B1460D">
        <w:rPr>
          <w:rFonts w:ascii="Arial" w:hAnsi="Arial" w:cs="Arial"/>
          <w:sz w:val="22"/>
        </w:rPr>
        <w:t xml:space="preserve">/09-13. </w:t>
      </w:r>
    </w:p>
    <w:p w:rsidR="0074596D" w:rsidRPr="00B1460D" w:rsidRDefault="0074596D" w:rsidP="0074596D">
      <w:pPr>
        <w:spacing w:line="360" w:lineRule="auto"/>
        <w:ind w:left="714"/>
        <w:jc w:val="both"/>
        <w:rPr>
          <w:rFonts w:ascii="Arial" w:hAnsi="Arial" w:cs="Arial"/>
          <w:sz w:val="22"/>
          <w:szCs w:val="22"/>
        </w:rPr>
      </w:pPr>
    </w:p>
    <w:p w:rsidR="008F3030" w:rsidRPr="00B1460D" w:rsidRDefault="008F3030" w:rsidP="008F3030">
      <w:pPr>
        <w:spacing w:line="360" w:lineRule="auto"/>
        <w:ind w:left="357"/>
        <w:jc w:val="center"/>
        <w:rPr>
          <w:rFonts w:ascii="Arial" w:hAnsi="Arial" w:cs="Arial"/>
          <w:b/>
          <w:sz w:val="22"/>
          <w:szCs w:val="22"/>
        </w:rPr>
      </w:pPr>
      <w:r w:rsidRPr="00B1460D">
        <w:rPr>
          <w:rFonts w:ascii="Arial" w:hAnsi="Arial" w:cs="Arial"/>
          <w:b/>
          <w:sz w:val="22"/>
          <w:szCs w:val="22"/>
        </w:rPr>
        <w:t>I.A.</w:t>
      </w:r>
    </w:p>
    <w:p w:rsidR="008F3030" w:rsidRPr="00B1460D" w:rsidRDefault="008F3030" w:rsidP="00355387">
      <w:pPr>
        <w:numPr>
          <w:ilvl w:val="0"/>
          <w:numId w:val="27"/>
        </w:numPr>
        <w:tabs>
          <w:tab w:val="clear" w:pos="720"/>
          <w:tab w:val="num" w:pos="426"/>
        </w:tabs>
        <w:spacing w:line="360" w:lineRule="auto"/>
        <w:ind w:left="372" w:hanging="372"/>
        <w:jc w:val="both"/>
        <w:rPr>
          <w:rFonts w:ascii="Arial" w:hAnsi="Arial" w:cs="Arial"/>
          <w:sz w:val="22"/>
        </w:rPr>
      </w:pPr>
      <w:r w:rsidRPr="00B1460D">
        <w:rPr>
          <w:rFonts w:ascii="Arial" w:hAnsi="Arial" w:cs="Arial"/>
          <w:sz w:val="22"/>
        </w:rPr>
        <w:t>Poskytovatel posoudil na základě příjemcem podané žádosti o podporu a platné</w:t>
      </w:r>
      <w:r w:rsidR="00355387" w:rsidRPr="00B1460D">
        <w:rPr>
          <w:rFonts w:ascii="Arial" w:hAnsi="Arial" w:cs="Arial"/>
          <w:sz w:val="22"/>
        </w:rPr>
        <w:t xml:space="preserve"> </w:t>
      </w:r>
      <w:r w:rsidRPr="00B1460D">
        <w:rPr>
          <w:rFonts w:ascii="Arial" w:hAnsi="Arial" w:cs="Arial"/>
          <w:sz w:val="22"/>
        </w:rPr>
        <w:t>legislativy projekt příjemce jako opatření nezakládající veřejnou podporu.</w:t>
      </w:r>
    </w:p>
    <w:p w:rsidR="008F3030" w:rsidRPr="00B1460D" w:rsidRDefault="008F3030" w:rsidP="008F3030">
      <w:pPr>
        <w:spacing w:line="360" w:lineRule="auto"/>
        <w:ind w:left="540"/>
        <w:jc w:val="both"/>
        <w:rPr>
          <w:rFonts w:ascii="Arial" w:hAnsi="Arial" w:cs="Arial"/>
          <w:sz w:val="22"/>
          <w:szCs w:val="22"/>
        </w:rPr>
      </w:pPr>
    </w:p>
    <w:p w:rsidR="008F3030" w:rsidRPr="00B1460D" w:rsidRDefault="008F3030" w:rsidP="00355387">
      <w:pPr>
        <w:numPr>
          <w:ilvl w:val="0"/>
          <w:numId w:val="27"/>
        </w:numPr>
        <w:tabs>
          <w:tab w:val="clear" w:pos="720"/>
          <w:tab w:val="num" w:pos="426"/>
        </w:tabs>
        <w:spacing w:line="360" w:lineRule="auto"/>
        <w:ind w:left="426"/>
        <w:jc w:val="both"/>
        <w:rPr>
          <w:rFonts w:ascii="Arial" w:hAnsi="Arial" w:cs="Arial"/>
          <w:sz w:val="22"/>
          <w:szCs w:val="22"/>
        </w:rPr>
      </w:pPr>
      <w:r w:rsidRPr="00B1460D">
        <w:rPr>
          <w:rFonts w:ascii="Arial" w:hAnsi="Arial" w:cs="Arial"/>
          <w:snapToGrid w:val="0"/>
          <w:sz w:val="22"/>
          <w:szCs w:val="22"/>
        </w:rPr>
        <w:t>Příjemce bere na vědomí, že slučitelnost podpory se společným trhem posuzuje a rozhoduje závazným způsobem Evropská komise.</w:t>
      </w:r>
      <w:r w:rsidRPr="00B1460D">
        <w:rPr>
          <w:rFonts w:ascii="Arial" w:hAnsi="Arial" w:cs="Arial"/>
          <w:i/>
          <w:snapToGrid w:val="0"/>
          <w:sz w:val="22"/>
          <w:szCs w:val="22"/>
        </w:rPr>
        <w:t xml:space="preserve"> </w:t>
      </w:r>
      <w:r w:rsidRPr="00B1460D">
        <w:rPr>
          <w:rFonts w:ascii="Arial" w:hAnsi="Arial" w:cs="Arial"/>
          <w:sz w:val="22"/>
          <w:szCs w:val="22"/>
        </w:rPr>
        <w:t xml:space="preserve">Evropská komise může rovněž uložit příjemci navrácení veřejné podpory spolu s příslušným úrokem. Příjemce podpisem této smlouvy stvrzuje, že byl s touto skutečností seznámen. </w:t>
      </w:r>
    </w:p>
    <w:p w:rsidR="008F3030" w:rsidRPr="00B1460D" w:rsidRDefault="008F3030" w:rsidP="008F3030">
      <w:pPr>
        <w:spacing w:line="360" w:lineRule="auto"/>
        <w:ind w:left="540"/>
        <w:jc w:val="both"/>
        <w:rPr>
          <w:rFonts w:ascii="Arial" w:hAnsi="Arial" w:cs="Arial"/>
          <w:sz w:val="22"/>
          <w:szCs w:val="22"/>
        </w:rPr>
      </w:pPr>
    </w:p>
    <w:p w:rsidR="008F3030" w:rsidRPr="00B1460D" w:rsidRDefault="008F3030" w:rsidP="008F3030">
      <w:pPr>
        <w:spacing w:line="360" w:lineRule="auto"/>
        <w:ind w:left="4620"/>
        <w:rPr>
          <w:rFonts w:ascii="Arial" w:hAnsi="Arial" w:cs="Arial"/>
          <w:sz w:val="22"/>
          <w:szCs w:val="22"/>
        </w:rPr>
      </w:pPr>
      <w:r w:rsidRPr="00B1460D" w:rsidDel="007029AD">
        <w:rPr>
          <w:rFonts w:ascii="Arial" w:hAnsi="Arial" w:cs="Arial"/>
          <w:b/>
          <w:sz w:val="22"/>
          <w:szCs w:val="22"/>
        </w:rPr>
        <w:t>II.</w:t>
      </w:r>
    </w:p>
    <w:p w:rsidR="008F3030" w:rsidRPr="00B1460D" w:rsidRDefault="008F3030" w:rsidP="008F3030">
      <w:pPr>
        <w:spacing w:line="360" w:lineRule="auto"/>
        <w:ind w:left="12"/>
        <w:jc w:val="center"/>
        <w:rPr>
          <w:rFonts w:ascii="Arial" w:hAnsi="Arial" w:cs="Arial"/>
          <w:sz w:val="22"/>
          <w:szCs w:val="22"/>
        </w:rPr>
      </w:pPr>
      <w:r w:rsidRPr="00B1460D">
        <w:rPr>
          <w:rFonts w:ascii="Arial" w:hAnsi="Arial" w:cs="Arial"/>
          <w:b/>
          <w:sz w:val="22"/>
          <w:szCs w:val="22"/>
        </w:rPr>
        <w:t>Harmonogram projektu</w:t>
      </w:r>
    </w:p>
    <w:p w:rsidR="008F3030" w:rsidRPr="00B1460D" w:rsidRDefault="008F3030" w:rsidP="00355387">
      <w:pPr>
        <w:numPr>
          <w:ilvl w:val="0"/>
          <w:numId w:val="18"/>
        </w:numPr>
        <w:tabs>
          <w:tab w:val="clear" w:pos="720"/>
          <w:tab w:val="num" w:pos="-12"/>
        </w:tabs>
        <w:spacing w:line="360" w:lineRule="auto"/>
        <w:ind w:left="426"/>
        <w:jc w:val="both"/>
        <w:rPr>
          <w:rFonts w:ascii="Arial" w:hAnsi="Arial" w:cs="Arial"/>
          <w:i/>
          <w:sz w:val="22"/>
          <w:szCs w:val="22"/>
        </w:rPr>
      </w:pPr>
      <w:r w:rsidRPr="00B1460D">
        <w:rPr>
          <w:rFonts w:ascii="Arial" w:hAnsi="Arial" w:cs="Arial"/>
          <w:snapToGrid w:val="0"/>
          <w:sz w:val="22"/>
          <w:szCs w:val="22"/>
        </w:rPr>
        <w:t xml:space="preserve">Příjemce se zavazuje </w:t>
      </w:r>
      <w:r w:rsidR="00252FD6" w:rsidRPr="00B1460D">
        <w:rPr>
          <w:rFonts w:ascii="Arial" w:hAnsi="Arial" w:cs="Arial"/>
          <w:snapToGrid w:val="0"/>
          <w:sz w:val="22"/>
          <w:szCs w:val="22"/>
        </w:rPr>
        <w:t xml:space="preserve">fyzicky zahájit a realizovat </w:t>
      </w:r>
      <w:r w:rsidRPr="00B1460D">
        <w:rPr>
          <w:rFonts w:ascii="Arial" w:hAnsi="Arial" w:cs="Arial"/>
          <w:snapToGrid w:val="0"/>
          <w:sz w:val="22"/>
          <w:szCs w:val="22"/>
        </w:rPr>
        <w:t xml:space="preserve">projekt nejpozději do 6 měsíců ode dne </w:t>
      </w:r>
      <w:r w:rsidR="00252FD6" w:rsidRPr="00B1460D">
        <w:rPr>
          <w:rFonts w:ascii="Arial" w:hAnsi="Arial" w:cs="Arial"/>
          <w:snapToGrid w:val="0"/>
          <w:sz w:val="22"/>
          <w:szCs w:val="22"/>
        </w:rPr>
        <w:t>účinnosti</w:t>
      </w:r>
      <w:r w:rsidRPr="00B1460D">
        <w:rPr>
          <w:rFonts w:ascii="Arial" w:hAnsi="Arial" w:cs="Arial"/>
          <w:snapToGrid w:val="0"/>
          <w:sz w:val="22"/>
          <w:szCs w:val="22"/>
        </w:rPr>
        <w:t xml:space="preserve"> této smlouvy.</w:t>
      </w:r>
      <w:r w:rsidRPr="00B1460D">
        <w:rPr>
          <w:rFonts w:ascii="Arial" w:hAnsi="Arial" w:cs="Arial"/>
          <w:sz w:val="22"/>
          <w:szCs w:val="22"/>
        </w:rPr>
        <w:t xml:space="preserve"> </w:t>
      </w:r>
    </w:p>
    <w:p w:rsidR="008F3030" w:rsidRPr="00B1460D" w:rsidRDefault="008F3030" w:rsidP="008F3030">
      <w:pPr>
        <w:spacing w:line="360" w:lineRule="auto"/>
        <w:ind w:left="372"/>
        <w:jc w:val="both"/>
        <w:rPr>
          <w:rFonts w:ascii="Arial" w:hAnsi="Arial" w:cs="Arial"/>
          <w:sz w:val="22"/>
          <w:szCs w:val="22"/>
        </w:rPr>
      </w:pPr>
    </w:p>
    <w:p w:rsidR="008F3030" w:rsidRPr="00B1460D" w:rsidRDefault="008F3030" w:rsidP="00355387">
      <w:pPr>
        <w:numPr>
          <w:ilvl w:val="0"/>
          <w:numId w:val="18"/>
        </w:numPr>
        <w:tabs>
          <w:tab w:val="clear" w:pos="720"/>
          <w:tab w:val="num" w:pos="-12"/>
          <w:tab w:val="num" w:pos="360"/>
        </w:tabs>
        <w:spacing w:line="360" w:lineRule="auto"/>
        <w:ind w:left="426"/>
        <w:jc w:val="both"/>
        <w:rPr>
          <w:rFonts w:ascii="Arial" w:hAnsi="Arial" w:cs="Arial"/>
          <w:sz w:val="22"/>
          <w:szCs w:val="22"/>
        </w:rPr>
      </w:pPr>
      <w:r w:rsidRPr="00B1460D">
        <w:rPr>
          <w:rFonts w:ascii="Arial" w:hAnsi="Arial" w:cs="Arial"/>
          <w:sz w:val="22"/>
          <w:szCs w:val="22"/>
        </w:rPr>
        <w:t>Datum ukončení projektu</w:t>
      </w:r>
      <w:r w:rsidR="00252FD6" w:rsidRPr="00B1460D">
        <w:rPr>
          <w:rStyle w:val="Znakapoznpodarou"/>
          <w:rFonts w:ascii="Arial" w:hAnsi="Arial" w:cs="Arial"/>
          <w:sz w:val="22"/>
          <w:szCs w:val="22"/>
        </w:rPr>
        <w:footnoteReference w:id="4"/>
      </w:r>
      <w:r w:rsidRPr="00B1460D">
        <w:rPr>
          <w:rFonts w:ascii="Arial" w:hAnsi="Arial" w:cs="Arial"/>
          <w:sz w:val="22"/>
          <w:szCs w:val="22"/>
        </w:rPr>
        <w:t>:</w:t>
      </w:r>
      <w:r w:rsidR="0074596D" w:rsidRPr="00B1460D">
        <w:rPr>
          <w:rFonts w:ascii="Arial" w:hAnsi="Arial" w:cs="Arial"/>
          <w:sz w:val="22"/>
          <w:szCs w:val="22"/>
        </w:rPr>
        <w:t xml:space="preserve"> 30. 11. 2015</w:t>
      </w:r>
      <w:r w:rsidRPr="00B1460D">
        <w:rPr>
          <w:rFonts w:ascii="Arial" w:hAnsi="Arial" w:cs="Arial"/>
          <w:sz w:val="22"/>
          <w:szCs w:val="22"/>
        </w:rPr>
        <w:t xml:space="preserve">. Příjemce je oprávněn ukončit projekt v tomto termínu s tolerancí +/- 30 dnů. </w:t>
      </w:r>
    </w:p>
    <w:p w:rsidR="008F3030" w:rsidRPr="00B1460D" w:rsidRDefault="008F3030" w:rsidP="008F3030">
      <w:pPr>
        <w:spacing w:line="360" w:lineRule="auto"/>
        <w:ind w:left="12"/>
        <w:jc w:val="both"/>
        <w:rPr>
          <w:rFonts w:ascii="Arial" w:hAnsi="Arial" w:cs="Arial"/>
          <w:sz w:val="22"/>
          <w:szCs w:val="22"/>
        </w:rPr>
      </w:pPr>
    </w:p>
    <w:p w:rsidR="008F3030" w:rsidRPr="00B1460D" w:rsidRDefault="008F3030" w:rsidP="00355387">
      <w:pPr>
        <w:pStyle w:val="p1"/>
        <w:numPr>
          <w:ilvl w:val="0"/>
          <w:numId w:val="18"/>
        </w:numPr>
        <w:tabs>
          <w:tab w:val="clear" w:pos="720"/>
          <w:tab w:val="num" w:pos="360"/>
        </w:tabs>
        <w:adjustRightInd/>
        <w:spacing w:line="360" w:lineRule="auto"/>
        <w:ind w:left="426"/>
        <w:textAlignment w:val="auto"/>
        <w:rPr>
          <w:rFonts w:ascii="Arial" w:hAnsi="Arial" w:cs="Arial"/>
          <w:sz w:val="22"/>
          <w:szCs w:val="22"/>
        </w:rPr>
      </w:pPr>
      <w:r w:rsidRPr="00B1460D">
        <w:rPr>
          <w:rFonts w:ascii="Arial" w:hAnsi="Arial" w:cs="Arial"/>
          <w:sz w:val="22"/>
          <w:szCs w:val="22"/>
        </w:rPr>
        <w:t xml:space="preserve">Doba udržitelnosti výsledků projektu se počítá od data skutečného předložení závěrečné žádosti o platbu po dobu pěti let. </w:t>
      </w:r>
    </w:p>
    <w:p w:rsidR="008F3030" w:rsidRPr="00B1460D" w:rsidRDefault="008F3030" w:rsidP="008F3030">
      <w:pPr>
        <w:spacing w:line="360" w:lineRule="auto"/>
        <w:jc w:val="both"/>
        <w:rPr>
          <w:rFonts w:ascii="Arial" w:hAnsi="Arial" w:cs="Arial"/>
          <w:sz w:val="22"/>
          <w:szCs w:val="22"/>
        </w:rPr>
      </w:pPr>
      <w:r w:rsidRPr="00B1460D">
        <w:rPr>
          <w:rFonts w:ascii="Arial" w:hAnsi="Arial" w:cs="Arial"/>
          <w:sz w:val="22"/>
          <w:szCs w:val="22"/>
        </w:rPr>
        <w:t xml:space="preserve"> </w:t>
      </w:r>
    </w:p>
    <w:p w:rsidR="008F3030" w:rsidRPr="00B1460D" w:rsidRDefault="008F3030" w:rsidP="009775EF">
      <w:pPr>
        <w:numPr>
          <w:ilvl w:val="0"/>
          <w:numId w:val="18"/>
        </w:numPr>
        <w:tabs>
          <w:tab w:val="clear" w:pos="720"/>
          <w:tab w:val="num" w:pos="-12"/>
          <w:tab w:val="num" w:pos="360"/>
        </w:tabs>
        <w:spacing w:line="360" w:lineRule="auto"/>
        <w:ind w:left="426"/>
        <w:jc w:val="both"/>
        <w:rPr>
          <w:rFonts w:ascii="Arial" w:hAnsi="Arial" w:cs="Arial"/>
          <w:i/>
          <w:sz w:val="22"/>
          <w:szCs w:val="22"/>
        </w:rPr>
      </w:pPr>
      <w:r w:rsidRPr="00B1460D">
        <w:rPr>
          <w:rFonts w:ascii="Arial" w:hAnsi="Arial" w:cs="Arial"/>
          <w:sz w:val="22"/>
          <w:szCs w:val="22"/>
        </w:rPr>
        <w:t>Způsobilost výdajů projekt</w:t>
      </w:r>
      <w:r w:rsidR="009775EF" w:rsidRPr="00B1460D">
        <w:rPr>
          <w:rFonts w:ascii="Arial" w:hAnsi="Arial" w:cs="Arial"/>
          <w:sz w:val="22"/>
          <w:szCs w:val="22"/>
        </w:rPr>
        <w:t xml:space="preserve">u počíná od data </w:t>
      </w:r>
      <w:r w:rsidRPr="00B1460D">
        <w:rPr>
          <w:rFonts w:ascii="Arial" w:hAnsi="Arial" w:cs="Arial"/>
          <w:sz w:val="22"/>
          <w:szCs w:val="22"/>
        </w:rPr>
        <w:t>registrace</w:t>
      </w:r>
      <w:r w:rsidR="00252FD6" w:rsidRPr="00B1460D">
        <w:rPr>
          <w:rStyle w:val="Znakapoznpodarou"/>
          <w:rFonts w:ascii="Arial" w:hAnsi="Arial" w:cs="Arial"/>
          <w:sz w:val="22"/>
          <w:szCs w:val="22"/>
        </w:rPr>
        <w:footnoteReference w:id="5"/>
      </w:r>
      <w:r w:rsidRPr="00B1460D">
        <w:rPr>
          <w:rFonts w:ascii="Arial" w:hAnsi="Arial" w:cs="Arial"/>
          <w:sz w:val="22"/>
          <w:szCs w:val="22"/>
        </w:rPr>
        <w:t xml:space="preserve"> projektu, přičemž výdaje na projektovou dokumentaci a výdaje na nákup pozemků v oblasti podpory 1.1 jsou způsobilé od 1.</w:t>
      </w:r>
      <w:r w:rsidR="00674FE8" w:rsidRPr="00B1460D">
        <w:rPr>
          <w:rFonts w:ascii="Arial" w:hAnsi="Arial" w:cs="Arial"/>
          <w:sz w:val="22"/>
          <w:szCs w:val="22"/>
        </w:rPr>
        <w:t xml:space="preserve"> </w:t>
      </w:r>
      <w:r w:rsidRPr="00B1460D">
        <w:rPr>
          <w:rFonts w:ascii="Arial" w:hAnsi="Arial" w:cs="Arial"/>
          <w:sz w:val="22"/>
          <w:szCs w:val="22"/>
        </w:rPr>
        <w:t>1.</w:t>
      </w:r>
      <w:r w:rsidR="00674FE8" w:rsidRPr="00B1460D">
        <w:rPr>
          <w:rFonts w:ascii="Arial" w:hAnsi="Arial" w:cs="Arial"/>
          <w:sz w:val="22"/>
          <w:szCs w:val="22"/>
        </w:rPr>
        <w:t xml:space="preserve"> </w:t>
      </w:r>
      <w:r w:rsidRPr="00B1460D">
        <w:rPr>
          <w:rFonts w:ascii="Arial" w:hAnsi="Arial" w:cs="Arial"/>
          <w:sz w:val="22"/>
          <w:szCs w:val="22"/>
        </w:rPr>
        <w:t>2007</w:t>
      </w:r>
      <w:r w:rsidR="0074596D" w:rsidRPr="00B1460D">
        <w:rPr>
          <w:rFonts w:ascii="Arial" w:hAnsi="Arial" w:cs="Arial"/>
          <w:sz w:val="22"/>
          <w:szCs w:val="22"/>
        </w:rPr>
        <w:t>.</w:t>
      </w:r>
    </w:p>
    <w:p w:rsidR="0074596D" w:rsidRPr="00B1460D" w:rsidRDefault="0074596D" w:rsidP="0074596D">
      <w:pPr>
        <w:spacing w:line="360" w:lineRule="auto"/>
        <w:ind w:left="709"/>
        <w:jc w:val="both"/>
        <w:rPr>
          <w:rFonts w:ascii="Arial" w:hAnsi="Arial" w:cs="Arial"/>
          <w:i/>
          <w:sz w:val="22"/>
          <w:szCs w:val="22"/>
        </w:rPr>
      </w:pPr>
    </w:p>
    <w:p w:rsidR="008F3030" w:rsidRPr="00B1460D" w:rsidRDefault="008F3030" w:rsidP="009775EF">
      <w:pPr>
        <w:spacing w:line="360" w:lineRule="auto"/>
        <w:ind w:left="426" w:hanging="336"/>
        <w:jc w:val="both"/>
        <w:rPr>
          <w:rFonts w:ascii="Arial" w:hAnsi="Arial" w:cs="Arial"/>
          <w:sz w:val="22"/>
          <w:szCs w:val="22"/>
        </w:rPr>
      </w:pPr>
      <w:r w:rsidRPr="00B1460D">
        <w:rPr>
          <w:rFonts w:ascii="Arial" w:hAnsi="Arial" w:cs="Arial"/>
          <w:sz w:val="22"/>
          <w:szCs w:val="22"/>
        </w:rPr>
        <w:t>5.</w:t>
      </w:r>
      <w:r w:rsidRPr="00B1460D">
        <w:rPr>
          <w:rFonts w:ascii="Arial" w:hAnsi="Arial" w:cs="Arial"/>
          <w:sz w:val="22"/>
          <w:szCs w:val="22"/>
        </w:rPr>
        <w:tab/>
        <w:t xml:space="preserve">Příjemce je povinen dodržet datum ukončení projektu. Zjistí-li příjemce, že dojde k prodlení oproti harmonogramu, který je přílohou této smlouvy, je povinen tuto skutečnost, včetně odůvodnění, neprodleně </w:t>
      </w:r>
      <w:r w:rsidR="00252FD6" w:rsidRPr="00B1460D">
        <w:rPr>
          <w:rFonts w:ascii="Arial" w:hAnsi="Arial" w:cs="Arial"/>
          <w:sz w:val="22"/>
          <w:szCs w:val="22"/>
        </w:rPr>
        <w:t xml:space="preserve">a předem </w:t>
      </w:r>
      <w:r w:rsidRPr="00B1460D">
        <w:rPr>
          <w:rFonts w:ascii="Arial" w:hAnsi="Arial" w:cs="Arial"/>
          <w:sz w:val="22"/>
          <w:szCs w:val="22"/>
        </w:rPr>
        <w:t xml:space="preserve">písemně oznámit poskytovateli. Smluvní strany se dohodly, že změny harmonogramu oznámené poskytovateli, které nevedou k prodlení (překročení data ukončení projektu, jak je definován v čl. II odst. 2.)  nebudou důvodem k uzavření dodatku k této smlouvě.   </w:t>
      </w:r>
    </w:p>
    <w:p w:rsidR="008F3030" w:rsidRPr="00B1460D" w:rsidRDefault="008F3030" w:rsidP="008F3030">
      <w:pPr>
        <w:spacing w:line="360" w:lineRule="auto"/>
        <w:ind w:left="372"/>
        <w:jc w:val="both"/>
        <w:rPr>
          <w:rFonts w:ascii="Arial" w:hAnsi="Arial" w:cs="Arial"/>
          <w:sz w:val="22"/>
          <w:szCs w:val="22"/>
        </w:rPr>
      </w:pPr>
    </w:p>
    <w:p w:rsidR="008F3030" w:rsidRPr="00B1460D" w:rsidRDefault="008F3030" w:rsidP="008F3030">
      <w:pPr>
        <w:spacing w:line="360" w:lineRule="auto"/>
        <w:ind w:left="372"/>
        <w:jc w:val="center"/>
        <w:rPr>
          <w:rFonts w:ascii="Arial" w:hAnsi="Arial" w:cs="Arial"/>
          <w:b/>
          <w:sz w:val="22"/>
          <w:szCs w:val="22"/>
        </w:rPr>
      </w:pPr>
      <w:r w:rsidRPr="00B1460D">
        <w:rPr>
          <w:rFonts w:ascii="Arial" w:hAnsi="Arial" w:cs="Arial"/>
          <w:b/>
          <w:sz w:val="22"/>
          <w:szCs w:val="22"/>
        </w:rPr>
        <w:t>III</w:t>
      </w:r>
      <w:r w:rsidR="0074596D" w:rsidRPr="00B1460D">
        <w:rPr>
          <w:rFonts w:ascii="Arial" w:hAnsi="Arial" w:cs="Arial"/>
          <w:b/>
          <w:sz w:val="22"/>
          <w:szCs w:val="22"/>
        </w:rPr>
        <w:t>.</w:t>
      </w:r>
      <w:r w:rsidRPr="00B1460D">
        <w:rPr>
          <w:rFonts w:ascii="Arial" w:hAnsi="Arial" w:cs="Arial"/>
          <w:b/>
          <w:sz w:val="22"/>
          <w:szCs w:val="22"/>
        </w:rPr>
        <w:t xml:space="preserve"> </w:t>
      </w:r>
    </w:p>
    <w:p w:rsidR="008F3030" w:rsidRPr="00B1460D" w:rsidRDefault="008F3030" w:rsidP="008F3030">
      <w:pPr>
        <w:spacing w:line="360" w:lineRule="auto"/>
        <w:ind w:left="372"/>
        <w:jc w:val="center"/>
        <w:rPr>
          <w:rFonts w:ascii="Arial" w:hAnsi="Arial" w:cs="Arial"/>
          <w:b/>
          <w:sz w:val="22"/>
          <w:szCs w:val="22"/>
        </w:rPr>
      </w:pPr>
      <w:r w:rsidRPr="00B1460D">
        <w:rPr>
          <w:rFonts w:ascii="Arial" w:hAnsi="Arial" w:cs="Arial"/>
          <w:b/>
          <w:sz w:val="22"/>
          <w:szCs w:val="22"/>
        </w:rPr>
        <w:t>Výše dotace</w:t>
      </w:r>
    </w:p>
    <w:p w:rsidR="008F3030" w:rsidRPr="00B1460D" w:rsidRDefault="008F3030" w:rsidP="009775EF">
      <w:pPr>
        <w:numPr>
          <w:ilvl w:val="0"/>
          <w:numId w:val="19"/>
        </w:numPr>
        <w:tabs>
          <w:tab w:val="clear" w:pos="720"/>
          <w:tab w:val="num" w:pos="-12"/>
          <w:tab w:val="num" w:pos="348"/>
        </w:tabs>
        <w:spacing w:line="360" w:lineRule="auto"/>
        <w:ind w:left="426"/>
        <w:jc w:val="both"/>
        <w:rPr>
          <w:rFonts w:ascii="Arial" w:hAnsi="Arial" w:cs="Arial"/>
          <w:sz w:val="22"/>
          <w:szCs w:val="22"/>
        </w:rPr>
      </w:pPr>
      <w:r w:rsidRPr="00B1460D">
        <w:rPr>
          <w:rFonts w:ascii="Arial" w:hAnsi="Arial" w:cs="Arial"/>
          <w:sz w:val="22"/>
          <w:szCs w:val="22"/>
        </w:rPr>
        <w:t xml:space="preserve">Příjemci je poskytována dotace maximálně ve výši </w:t>
      </w:r>
      <w:r w:rsidR="001C4363" w:rsidRPr="00B1460D">
        <w:rPr>
          <w:rFonts w:ascii="Arial" w:hAnsi="Arial" w:cs="Arial"/>
          <w:sz w:val="22"/>
          <w:szCs w:val="22"/>
        </w:rPr>
        <w:t>2 073 099,00</w:t>
      </w:r>
      <w:r w:rsidRPr="00B1460D">
        <w:rPr>
          <w:rFonts w:ascii="Arial" w:hAnsi="Arial" w:cs="Arial"/>
          <w:sz w:val="22"/>
          <w:szCs w:val="22"/>
        </w:rPr>
        <w:t xml:space="preserve"> Kč (slovy </w:t>
      </w:r>
      <w:r w:rsidR="001C4363" w:rsidRPr="00B1460D">
        <w:rPr>
          <w:rFonts w:ascii="Arial" w:hAnsi="Arial" w:cs="Arial"/>
          <w:sz w:val="22"/>
          <w:szCs w:val="22"/>
        </w:rPr>
        <w:t>dvamilionysedmdesáttřitisícdevadesátdevětkorunčeských</w:t>
      </w:r>
      <w:r w:rsidRPr="00B1460D">
        <w:rPr>
          <w:rFonts w:ascii="Arial" w:hAnsi="Arial" w:cs="Arial"/>
          <w:sz w:val="22"/>
          <w:szCs w:val="22"/>
        </w:rPr>
        <w:t>).</w:t>
      </w:r>
    </w:p>
    <w:p w:rsidR="008F3030" w:rsidRPr="00B1460D" w:rsidRDefault="008F3030" w:rsidP="008F3030">
      <w:pPr>
        <w:spacing w:line="360" w:lineRule="auto"/>
        <w:ind w:left="372"/>
        <w:jc w:val="both"/>
        <w:rPr>
          <w:rFonts w:ascii="Arial" w:hAnsi="Arial" w:cs="Arial"/>
          <w:sz w:val="22"/>
          <w:szCs w:val="22"/>
        </w:rPr>
      </w:pPr>
    </w:p>
    <w:p w:rsidR="008F3030" w:rsidRPr="00B1460D" w:rsidRDefault="008F3030" w:rsidP="009775EF">
      <w:pPr>
        <w:numPr>
          <w:ilvl w:val="0"/>
          <w:numId w:val="19"/>
        </w:numPr>
        <w:tabs>
          <w:tab w:val="clear" w:pos="720"/>
          <w:tab w:val="num" w:pos="-12"/>
          <w:tab w:val="num" w:pos="348"/>
        </w:tabs>
        <w:spacing w:line="360" w:lineRule="auto"/>
        <w:ind w:left="426"/>
        <w:jc w:val="both"/>
        <w:rPr>
          <w:rFonts w:ascii="Arial" w:hAnsi="Arial" w:cs="Arial"/>
          <w:sz w:val="22"/>
          <w:szCs w:val="22"/>
        </w:rPr>
      </w:pPr>
      <w:r w:rsidRPr="00B1460D">
        <w:rPr>
          <w:rFonts w:ascii="Arial" w:hAnsi="Arial" w:cs="Arial"/>
          <w:snapToGrid w:val="0"/>
          <w:sz w:val="22"/>
          <w:szCs w:val="22"/>
        </w:rPr>
        <w:t>Maximální procentní podíl dotace na skutečně vynaložených způsobilých výdajích projektu je (v %):</w:t>
      </w:r>
      <w:r w:rsidR="001C4363" w:rsidRPr="00B1460D">
        <w:rPr>
          <w:rFonts w:ascii="Arial" w:hAnsi="Arial" w:cs="Arial"/>
          <w:snapToGrid w:val="0"/>
          <w:sz w:val="22"/>
          <w:szCs w:val="22"/>
        </w:rPr>
        <w:t xml:space="preserve"> 85</w:t>
      </w:r>
      <w:r w:rsidR="007D140A" w:rsidRPr="00B1460D">
        <w:rPr>
          <w:rFonts w:ascii="Arial" w:hAnsi="Arial" w:cs="Arial"/>
          <w:i/>
          <w:snapToGrid w:val="0"/>
          <w:sz w:val="22"/>
          <w:szCs w:val="22"/>
        </w:rPr>
        <w:t xml:space="preserve">. </w:t>
      </w:r>
    </w:p>
    <w:p w:rsidR="008F3030" w:rsidRPr="00B1460D" w:rsidRDefault="008F3030" w:rsidP="008F3030">
      <w:pPr>
        <w:tabs>
          <w:tab w:val="num" w:pos="720"/>
        </w:tabs>
        <w:spacing w:line="360" w:lineRule="auto"/>
        <w:ind w:left="732"/>
        <w:jc w:val="both"/>
        <w:rPr>
          <w:rFonts w:ascii="Arial" w:hAnsi="Arial" w:cs="Arial"/>
          <w:sz w:val="22"/>
          <w:szCs w:val="22"/>
        </w:rPr>
      </w:pPr>
    </w:p>
    <w:p w:rsidR="008F3030" w:rsidRPr="00B1460D" w:rsidRDefault="008F3030" w:rsidP="00A7770B">
      <w:pPr>
        <w:numPr>
          <w:ilvl w:val="0"/>
          <w:numId w:val="19"/>
        </w:numPr>
        <w:tabs>
          <w:tab w:val="clear" w:pos="720"/>
        </w:tabs>
        <w:spacing w:line="360" w:lineRule="auto"/>
        <w:ind w:left="426"/>
        <w:jc w:val="both"/>
        <w:rPr>
          <w:rFonts w:ascii="Arial" w:hAnsi="Arial" w:cs="Arial"/>
          <w:sz w:val="22"/>
          <w:szCs w:val="22"/>
        </w:rPr>
      </w:pPr>
      <w:r w:rsidRPr="00B1460D">
        <w:rPr>
          <w:rFonts w:ascii="Arial" w:hAnsi="Arial" w:cs="Arial"/>
          <w:sz w:val="22"/>
          <w:szCs w:val="22"/>
        </w:rPr>
        <w:t>Celková výše dotace dle odst. 1 nesmí být překročena. Částka dotace, která bude příjemci skutečně poskytnuta, bude určena na základě odůvodněných a řádně prokázaných způsobilých výdajů skutečně vynaložených podle této smlouvy a ostatní závazné dokumentace a na základě zúčtování dotace podle platných právních předpisů. Příjemce zajistí úhradu veškerých výdajů projektu, které nejsou kryty výše uvedenou dotací (tzv. nezpůsobilé výdaje nebo vícenáklady, povinný podíl veřejných finančních prostředků). V případě, že v průběhu realizace projektu dojde ke snížení způsobilých výdajů prokázaných na straně příjemce, musí být vždy zachovány procentní podíly dotace a zdrojů spolufinancování na celkových způsobilých výdajích. Dotace bude v průběhu realizace a  do okamžiku uzavření programu snížena pokud dojde ke snížení finanční mezery podle čl. 55 Nařízení Rady (ES) č. 1083/2006 o více než 10 %. V případě navýšení jiných peněžních příjmů, oproti výši plánované v této smlouvě je dotace krácena v průběhu realizace projektu nebo do pěti let od ukončení realizace projektu. Pokud projekt generuje příjmy neodhadnutelné předem podle čl. 55 Nařízení Rady (ES) č. 1083/2006, má příjemce povinnost do 5 let od ukončení realizace projektu čisté příjmy bez zbytečného odkladu odvést na účet Řídícího orgánu.</w:t>
      </w:r>
      <w:r w:rsidRPr="00B1460D">
        <w:rPr>
          <w:rStyle w:val="Znakapoznpodarou"/>
          <w:rFonts w:ascii="Arial" w:hAnsi="Arial" w:cs="Arial"/>
          <w:sz w:val="22"/>
          <w:szCs w:val="22"/>
        </w:rPr>
        <w:footnoteReference w:id="6"/>
      </w:r>
    </w:p>
    <w:p w:rsidR="008F3030" w:rsidRPr="00B1460D" w:rsidRDefault="008F3030" w:rsidP="008F3030">
      <w:pPr>
        <w:spacing w:line="360" w:lineRule="auto"/>
        <w:ind w:left="708"/>
        <w:jc w:val="both"/>
        <w:rPr>
          <w:rFonts w:ascii="Arial" w:hAnsi="Arial" w:cs="Arial"/>
          <w:sz w:val="22"/>
          <w:szCs w:val="22"/>
        </w:rPr>
      </w:pPr>
      <w:r w:rsidRPr="00B1460D">
        <w:rPr>
          <w:rFonts w:ascii="Arial" w:hAnsi="Arial" w:cs="Arial"/>
          <w:sz w:val="22"/>
          <w:szCs w:val="22"/>
        </w:rPr>
        <w:t xml:space="preserve"> </w:t>
      </w:r>
    </w:p>
    <w:p w:rsidR="008F3030" w:rsidRPr="00B1460D" w:rsidRDefault="008F3030" w:rsidP="009775EF">
      <w:pPr>
        <w:numPr>
          <w:ilvl w:val="0"/>
          <w:numId w:val="19"/>
        </w:numPr>
        <w:tabs>
          <w:tab w:val="clear" w:pos="720"/>
          <w:tab w:val="num" w:pos="-12"/>
          <w:tab w:val="num" w:pos="348"/>
        </w:tabs>
        <w:spacing w:line="360" w:lineRule="auto"/>
        <w:ind w:left="426"/>
        <w:jc w:val="both"/>
        <w:rPr>
          <w:rFonts w:ascii="Arial" w:hAnsi="Arial" w:cs="Arial"/>
          <w:sz w:val="22"/>
          <w:szCs w:val="22"/>
        </w:rPr>
      </w:pPr>
      <w:r w:rsidRPr="00B1460D">
        <w:rPr>
          <w:rFonts w:ascii="Arial" w:hAnsi="Arial" w:cs="Arial"/>
          <w:sz w:val="22"/>
          <w:szCs w:val="22"/>
        </w:rPr>
        <w:t>Všechny výdaje musí být pro účely této smlouvy vykazovány bez daně z přidané hodnoty v případě, kdy příjemce je jejím plátcem a má možnost žádat o její zpětné proplacení příslušného správce daně.</w:t>
      </w:r>
    </w:p>
    <w:tbl>
      <w:tblPr>
        <w:tblpPr w:leftFromText="141" w:rightFromText="141" w:vertAnchor="text" w:tblpX="455" w:tblpY="1"/>
        <w:tblOverlap w:val="neve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196"/>
      </w:tblGrid>
      <w:tr w:rsidR="008F3030" w:rsidRPr="00B1460D" w:rsidTr="00A7770B">
        <w:tc>
          <w:tcPr>
            <w:tcW w:w="4962" w:type="dxa"/>
          </w:tcPr>
          <w:p w:rsidR="009775EF" w:rsidRPr="00B1460D" w:rsidRDefault="008F3030" w:rsidP="002A6B63">
            <w:pPr>
              <w:pStyle w:val="Zkladntext"/>
              <w:tabs>
                <w:tab w:val="left" w:pos="0"/>
                <w:tab w:val="left" w:pos="360"/>
              </w:tabs>
              <w:spacing w:after="0" w:line="360" w:lineRule="auto"/>
              <w:jc w:val="both"/>
              <w:rPr>
                <w:rFonts w:ascii="Arial" w:hAnsi="Arial" w:cs="Arial"/>
                <w:b/>
                <w:sz w:val="22"/>
                <w:szCs w:val="22"/>
                <w:lang w:val="cs-CZ" w:eastAsia="cs-CZ"/>
              </w:rPr>
            </w:pPr>
            <w:r w:rsidRPr="00B1460D">
              <w:rPr>
                <w:rFonts w:ascii="Arial" w:hAnsi="Arial" w:cs="Arial"/>
                <w:b/>
                <w:sz w:val="22"/>
                <w:szCs w:val="22"/>
                <w:lang w:val="cs-CZ" w:eastAsia="cs-CZ"/>
              </w:rPr>
              <w:t xml:space="preserve">Plánovaný finanční rámec projektu: </w:t>
            </w:r>
          </w:p>
          <w:p w:rsidR="008F3030" w:rsidRPr="00B1460D" w:rsidRDefault="009775EF" w:rsidP="002A6B63">
            <w:pPr>
              <w:pStyle w:val="Zkladntext"/>
              <w:tabs>
                <w:tab w:val="left" w:pos="0"/>
                <w:tab w:val="left" w:pos="360"/>
              </w:tabs>
              <w:spacing w:after="0" w:line="360" w:lineRule="auto"/>
              <w:jc w:val="both"/>
              <w:rPr>
                <w:rFonts w:ascii="Arial" w:hAnsi="Arial" w:cs="Arial"/>
                <w:bCs/>
                <w:iCs/>
                <w:sz w:val="22"/>
                <w:szCs w:val="22"/>
                <w:lang w:val="cs-CZ" w:eastAsia="cs-CZ"/>
              </w:rPr>
            </w:pPr>
            <w:r w:rsidRPr="00B1460D">
              <w:rPr>
                <w:rFonts w:ascii="Arial" w:hAnsi="Arial" w:cs="Arial"/>
                <w:bCs/>
                <w:iCs/>
                <w:sz w:val="22"/>
                <w:szCs w:val="22"/>
                <w:lang w:val="cs-CZ" w:eastAsia="cs-CZ"/>
              </w:rPr>
              <w:t>(pouze orientační charakter)</w:t>
            </w:r>
          </w:p>
        </w:tc>
        <w:tc>
          <w:tcPr>
            <w:tcW w:w="2196" w:type="dxa"/>
          </w:tcPr>
          <w:p w:rsidR="008F3030" w:rsidRPr="00B1460D" w:rsidRDefault="008F3030" w:rsidP="002A6B63">
            <w:pPr>
              <w:spacing w:line="360" w:lineRule="auto"/>
              <w:ind w:left="360"/>
              <w:jc w:val="both"/>
              <w:rPr>
                <w:rFonts w:ascii="Arial" w:hAnsi="Arial" w:cs="Arial"/>
                <w:b/>
                <w:sz w:val="22"/>
                <w:szCs w:val="22"/>
              </w:rPr>
            </w:pPr>
            <w:r w:rsidRPr="00B1460D">
              <w:rPr>
                <w:rFonts w:ascii="Arial" w:hAnsi="Arial" w:cs="Arial"/>
                <w:b/>
                <w:sz w:val="22"/>
                <w:szCs w:val="22"/>
              </w:rPr>
              <w:t>Kč</w:t>
            </w:r>
          </w:p>
        </w:tc>
      </w:tr>
      <w:tr w:rsidR="008F3030" w:rsidRPr="00B1460D" w:rsidTr="00A7770B">
        <w:tc>
          <w:tcPr>
            <w:tcW w:w="4962" w:type="dxa"/>
          </w:tcPr>
          <w:p w:rsidR="008F3030" w:rsidRPr="00B1460D" w:rsidRDefault="008F3030" w:rsidP="002A6B63">
            <w:pPr>
              <w:spacing w:line="360" w:lineRule="auto"/>
              <w:ind w:left="360"/>
              <w:jc w:val="both"/>
              <w:rPr>
                <w:rFonts w:ascii="Arial" w:hAnsi="Arial" w:cs="Arial"/>
                <w:sz w:val="22"/>
                <w:szCs w:val="22"/>
              </w:rPr>
            </w:pPr>
            <w:r w:rsidRPr="00B1460D">
              <w:rPr>
                <w:rFonts w:ascii="Arial" w:hAnsi="Arial" w:cs="Arial"/>
                <w:sz w:val="22"/>
                <w:szCs w:val="22"/>
              </w:rPr>
              <w:t>Předpokládané celkové výdaje</w:t>
            </w:r>
          </w:p>
        </w:tc>
        <w:tc>
          <w:tcPr>
            <w:tcW w:w="2196" w:type="dxa"/>
          </w:tcPr>
          <w:p w:rsidR="008F3030" w:rsidRPr="00B1460D" w:rsidRDefault="001C4363" w:rsidP="002A6B63">
            <w:pPr>
              <w:spacing w:line="360" w:lineRule="auto"/>
              <w:ind w:left="360"/>
              <w:jc w:val="right"/>
              <w:rPr>
                <w:rFonts w:ascii="Arial" w:hAnsi="Arial" w:cs="Arial"/>
                <w:sz w:val="22"/>
                <w:szCs w:val="22"/>
              </w:rPr>
            </w:pPr>
            <w:r w:rsidRPr="00B1460D">
              <w:rPr>
                <w:rFonts w:ascii="Arial" w:hAnsi="Arial" w:cs="Arial"/>
                <w:sz w:val="22"/>
                <w:szCs w:val="22"/>
              </w:rPr>
              <w:t>2 438 940,00</w:t>
            </w:r>
          </w:p>
        </w:tc>
      </w:tr>
      <w:tr w:rsidR="008F3030" w:rsidRPr="00B1460D" w:rsidTr="00A7770B">
        <w:tc>
          <w:tcPr>
            <w:tcW w:w="4962" w:type="dxa"/>
          </w:tcPr>
          <w:p w:rsidR="008F3030" w:rsidRPr="00B1460D" w:rsidRDefault="008F3030" w:rsidP="002A6B63">
            <w:pPr>
              <w:spacing w:line="360" w:lineRule="auto"/>
              <w:ind w:left="360"/>
              <w:jc w:val="both"/>
              <w:rPr>
                <w:rFonts w:ascii="Arial" w:hAnsi="Arial" w:cs="Arial"/>
                <w:sz w:val="22"/>
                <w:szCs w:val="22"/>
              </w:rPr>
            </w:pPr>
            <w:r w:rsidRPr="00B1460D">
              <w:rPr>
                <w:rFonts w:ascii="Arial" w:hAnsi="Arial" w:cs="Arial"/>
                <w:sz w:val="22"/>
                <w:szCs w:val="22"/>
              </w:rPr>
              <w:t>Předpokládané celkové nezpůsobilé výdaje</w:t>
            </w:r>
          </w:p>
        </w:tc>
        <w:tc>
          <w:tcPr>
            <w:tcW w:w="2196" w:type="dxa"/>
          </w:tcPr>
          <w:p w:rsidR="008F3030" w:rsidRPr="00B1460D" w:rsidRDefault="001C4363" w:rsidP="002A6B63">
            <w:pPr>
              <w:spacing w:line="360" w:lineRule="auto"/>
              <w:ind w:left="360"/>
              <w:jc w:val="right"/>
              <w:rPr>
                <w:rFonts w:ascii="Arial" w:hAnsi="Arial" w:cs="Arial"/>
                <w:sz w:val="22"/>
                <w:szCs w:val="22"/>
              </w:rPr>
            </w:pPr>
            <w:r w:rsidRPr="00B1460D">
              <w:rPr>
                <w:rFonts w:ascii="Arial" w:hAnsi="Arial" w:cs="Arial"/>
                <w:sz w:val="22"/>
                <w:szCs w:val="22"/>
              </w:rPr>
              <w:t>0,00</w:t>
            </w:r>
          </w:p>
        </w:tc>
      </w:tr>
      <w:tr w:rsidR="008F3030" w:rsidRPr="00B1460D" w:rsidTr="00A7770B">
        <w:trPr>
          <w:trHeight w:val="374"/>
        </w:trPr>
        <w:tc>
          <w:tcPr>
            <w:tcW w:w="4962" w:type="dxa"/>
          </w:tcPr>
          <w:p w:rsidR="008F3030" w:rsidRPr="00B1460D" w:rsidRDefault="008F3030" w:rsidP="002A6B63">
            <w:pPr>
              <w:spacing w:line="360" w:lineRule="auto"/>
              <w:ind w:left="360"/>
              <w:jc w:val="both"/>
              <w:rPr>
                <w:rFonts w:ascii="Arial" w:hAnsi="Arial" w:cs="Arial"/>
                <w:sz w:val="22"/>
                <w:szCs w:val="22"/>
              </w:rPr>
            </w:pPr>
            <w:r w:rsidRPr="00B1460D">
              <w:rPr>
                <w:rFonts w:ascii="Arial" w:hAnsi="Arial" w:cs="Arial"/>
                <w:sz w:val="22"/>
                <w:szCs w:val="22"/>
              </w:rPr>
              <w:t>Předpokládané celkové způsobilé výdaje</w:t>
            </w:r>
          </w:p>
        </w:tc>
        <w:tc>
          <w:tcPr>
            <w:tcW w:w="2196" w:type="dxa"/>
            <w:shd w:val="clear" w:color="auto" w:fill="auto"/>
            <w:vAlign w:val="center"/>
          </w:tcPr>
          <w:p w:rsidR="008F3030" w:rsidRPr="00B1460D" w:rsidRDefault="001C4363" w:rsidP="002A6B63">
            <w:pPr>
              <w:spacing w:line="360" w:lineRule="auto"/>
              <w:jc w:val="right"/>
              <w:rPr>
                <w:rFonts w:ascii="Arial" w:hAnsi="Arial" w:cs="Arial"/>
                <w:sz w:val="22"/>
                <w:szCs w:val="22"/>
              </w:rPr>
            </w:pPr>
            <w:r w:rsidRPr="00B1460D">
              <w:rPr>
                <w:rFonts w:ascii="Arial" w:hAnsi="Arial" w:cs="Arial"/>
                <w:sz w:val="22"/>
                <w:szCs w:val="22"/>
              </w:rPr>
              <w:t>2 438 940,00</w:t>
            </w:r>
          </w:p>
        </w:tc>
      </w:tr>
      <w:tr w:rsidR="008F3030" w:rsidRPr="00B1460D" w:rsidTr="00A7770B">
        <w:trPr>
          <w:trHeight w:val="412"/>
        </w:trPr>
        <w:tc>
          <w:tcPr>
            <w:tcW w:w="4962" w:type="dxa"/>
          </w:tcPr>
          <w:p w:rsidR="008F3030" w:rsidRPr="00B1460D" w:rsidRDefault="008F3030" w:rsidP="002A6B63">
            <w:pPr>
              <w:spacing w:line="360" w:lineRule="auto"/>
              <w:ind w:left="360"/>
              <w:jc w:val="both"/>
              <w:rPr>
                <w:rFonts w:ascii="Arial" w:hAnsi="Arial" w:cs="Arial"/>
                <w:sz w:val="22"/>
                <w:szCs w:val="22"/>
              </w:rPr>
            </w:pPr>
            <w:r w:rsidRPr="00B1460D">
              <w:rPr>
                <w:rFonts w:ascii="Arial" w:hAnsi="Arial" w:cs="Arial"/>
                <w:sz w:val="22"/>
                <w:szCs w:val="22"/>
              </w:rPr>
              <w:t>Předpokládané jiné peněžní příjmy</w:t>
            </w:r>
          </w:p>
        </w:tc>
        <w:tc>
          <w:tcPr>
            <w:tcW w:w="2196" w:type="dxa"/>
            <w:shd w:val="clear" w:color="auto" w:fill="auto"/>
            <w:vAlign w:val="center"/>
          </w:tcPr>
          <w:p w:rsidR="008F3030" w:rsidRPr="00B1460D" w:rsidRDefault="001C4363" w:rsidP="002A6B63">
            <w:pPr>
              <w:spacing w:line="360" w:lineRule="auto"/>
              <w:ind w:left="360"/>
              <w:jc w:val="right"/>
              <w:rPr>
                <w:rFonts w:ascii="Arial" w:hAnsi="Arial" w:cs="Arial"/>
                <w:sz w:val="22"/>
                <w:szCs w:val="22"/>
              </w:rPr>
            </w:pPr>
            <w:r w:rsidRPr="00B1460D">
              <w:rPr>
                <w:rFonts w:ascii="Arial" w:hAnsi="Arial" w:cs="Arial"/>
                <w:sz w:val="22"/>
                <w:szCs w:val="22"/>
              </w:rPr>
              <w:t>0,00</w:t>
            </w:r>
          </w:p>
        </w:tc>
      </w:tr>
      <w:tr w:rsidR="008F3030" w:rsidRPr="00B1460D" w:rsidTr="00A7770B">
        <w:tc>
          <w:tcPr>
            <w:tcW w:w="4962" w:type="dxa"/>
          </w:tcPr>
          <w:p w:rsidR="008F3030" w:rsidRPr="00B1460D" w:rsidRDefault="008F3030" w:rsidP="002A6B63">
            <w:pPr>
              <w:spacing w:line="360" w:lineRule="auto"/>
              <w:ind w:left="360"/>
              <w:jc w:val="both"/>
              <w:rPr>
                <w:rFonts w:ascii="Arial" w:hAnsi="Arial" w:cs="Arial"/>
                <w:sz w:val="22"/>
                <w:szCs w:val="22"/>
              </w:rPr>
            </w:pPr>
            <w:r w:rsidRPr="00B1460D">
              <w:rPr>
                <w:rFonts w:ascii="Arial" w:hAnsi="Arial" w:cs="Arial"/>
                <w:sz w:val="22"/>
                <w:szCs w:val="22"/>
              </w:rPr>
              <w:t>Finanční mezera</w:t>
            </w:r>
          </w:p>
        </w:tc>
        <w:tc>
          <w:tcPr>
            <w:tcW w:w="2196" w:type="dxa"/>
            <w:vAlign w:val="center"/>
          </w:tcPr>
          <w:p w:rsidR="008F3030" w:rsidRPr="00B1460D" w:rsidRDefault="001C4363" w:rsidP="002A6B63">
            <w:pPr>
              <w:spacing w:line="360" w:lineRule="auto"/>
              <w:ind w:left="360"/>
              <w:jc w:val="both"/>
              <w:rPr>
                <w:rFonts w:ascii="Arial" w:hAnsi="Arial" w:cs="Arial"/>
                <w:sz w:val="22"/>
                <w:szCs w:val="22"/>
              </w:rPr>
            </w:pPr>
            <w:r w:rsidRPr="00B1460D">
              <w:rPr>
                <w:rFonts w:ascii="Arial" w:hAnsi="Arial" w:cs="Arial"/>
                <w:sz w:val="22"/>
                <w:szCs w:val="22"/>
              </w:rPr>
              <w:t>100% diskontovaných způsobilých výdajů</w:t>
            </w:r>
          </w:p>
        </w:tc>
      </w:tr>
      <w:tr w:rsidR="008F3030" w:rsidRPr="00B1460D" w:rsidTr="00A7770B">
        <w:tc>
          <w:tcPr>
            <w:tcW w:w="4962" w:type="dxa"/>
          </w:tcPr>
          <w:p w:rsidR="008F3030" w:rsidRPr="00B1460D" w:rsidRDefault="008F3030" w:rsidP="002A6B63">
            <w:pPr>
              <w:spacing w:line="360" w:lineRule="auto"/>
              <w:ind w:left="360"/>
              <w:jc w:val="both"/>
              <w:rPr>
                <w:rFonts w:ascii="Arial" w:hAnsi="Arial" w:cs="Arial"/>
                <w:sz w:val="22"/>
                <w:szCs w:val="22"/>
              </w:rPr>
            </w:pPr>
            <w:r w:rsidRPr="00B1460D">
              <w:rPr>
                <w:rFonts w:ascii="Arial" w:hAnsi="Arial" w:cs="Arial"/>
                <w:sz w:val="22"/>
                <w:szCs w:val="22"/>
              </w:rPr>
              <w:t>Předpokládané příjmy dle čl. 55 připadající na způsobilé výdaje</w:t>
            </w:r>
          </w:p>
        </w:tc>
        <w:tc>
          <w:tcPr>
            <w:tcW w:w="2196" w:type="dxa"/>
            <w:vAlign w:val="center"/>
          </w:tcPr>
          <w:p w:rsidR="008F3030" w:rsidRPr="00B1460D" w:rsidRDefault="001C4363" w:rsidP="002A6B63">
            <w:pPr>
              <w:spacing w:line="360" w:lineRule="auto"/>
              <w:ind w:left="360"/>
              <w:jc w:val="right"/>
              <w:rPr>
                <w:rFonts w:ascii="Arial" w:hAnsi="Arial" w:cs="Arial"/>
                <w:sz w:val="22"/>
                <w:szCs w:val="22"/>
              </w:rPr>
            </w:pPr>
            <w:r w:rsidRPr="00B1460D">
              <w:rPr>
                <w:rFonts w:ascii="Arial" w:hAnsi="Arial" w:cs="Arial"/>
                <w:sz w:val="22"/>
                <w:szCs w:val="22"/>
              </w:rPr>
              <w:t>0,00</w:t>
            </w:r>
          </w:p>
        </w:tc>
      </w:tr>
    </w:tbl>
    <w:p w:rsidR="0029681A" w:rsidRPr="00B1460D" w:rsidRDefault="0029681A" w:rsidP="0029681A">
      <w:pPr>
        <w:rPr>
          <w:vanish/>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2126"/>
        <w:gridCol w:w="2410"/>
      </w:tblGrid>
      <w:tr w:rsidR="008F3030" w:rsidRPr="00B1460D" w:rsidTr="002A6B63">
        <w:tc>
          <w:tcPr>
            <w:tcW w:w="4961" w:type="dxa"/>
            <w:shd w:val="clear" w:color="auto" w:fill="auto"/>
          </w:tcPr>
          <w:p w:rsidR="008F3030" w:rsidRPr="00B1460D" w:rsidRDefault="008F3030" w:rsidP="00872ECE">
            <w:pPr>
              <w:widowControl w:val="0"/>
              <w:spacing w:line="360" w:lineRule="auto"/>
              <w:ind w:left="360"/>
              <w:jc w:val="center"/>
              <w:rPr>
                <w:rFonts w:ascii="Arial" w:hAnsi="Arial" w:cs="Arial"/>
                <w:b/>
                <w:snapToGrid w:val="0"/>
                <w:sz w:val="22"/>
                <w:szCs w:val="22"/>
              </w:rPr>
            </w:pPr>
            <w:r w:rsidRPr="00B1460D">
              <w:rPr>
                <w:rFonts w:ascii="Arial" w:hAnsi="Arial" w:cs="Arial"/>
                <w:b/>
                <w:snapToGrid w:val="0"/>
                <w:sz w:val="22"/>
                <w:szCs w:val="22"/>
              </w:rPr>
              <w:t>Druh podpory</w:t>
            </w:r>
          </w:p>
        </w:tc>
        <w:tc>
          <w:tcPr>
            <w:tcW w:w="2126" w:type="dxa"/>
            <w:shd w:val="clear" w:color="auto" w:fill="auto"/>
          </w:tcPr>
          <w:p w:rsidR="008F3030" w:rsidRPr="00B1460D" w:rsidRDefault="008F3030" w:rsidP="00872ECE">
            <w:pPr>
              <w:widowControl w:val="0"/>
              <w:spacing w:line="360" w:lineRule="auto"/>
              <w:ind w:left="360"/>
              <w:jc w:val="center"/>
              <w:rPr>
                <w:rFonts w:ascii="Arial" w:hAnsi="Arial" w:cs="Arial"/>
                <w:b/>
                <w:snapToGrid w:val="0"/>
                <w:sz w:val="22"/>
                <w:szCs w:val="22"/>
              </w:rPr>
            </w:pPr>
            <w:r w:rsidRPr="00B1460D">
              <w:rPr>
                <w:rFonts w:ascii="Arial" w:hAnsi="Arial" w:cs="Arial"/>
                <w:b/>
                <w:snapToGrid w:val="0"/>
                <w:sz w:val="22"/>
                <w:szCs w:val="22"/>
              </w:rPr>
              <w:t>Výše příspěvku v Kč</w:t>
            </w:r>
          </w:p>
        </w:tc>
        <w:tc>
          <w:tcPr>
            <w:tcW w:w="2410" w:type="dxa"/>
            <w:shd w:val="clear" w:color="auto" w:fill="auto"/>
          </w:tcPr>
          <w:p w:rsidR="008F3030" w:rsidRPr="00B1460D" w:rsidRDefault="008F3030" w:rsidP="00872ECE">
            <w:pPr>
              <w:widowControl w:val="0"/>
              <w:spacing w:line="360" w:lineRule="auto"/>
              <w:ind w:left="360"/>
              <w:jc w:val="center"/>
              <w:rPr>
                <w:rFonts w:ascii="Arial" w:hAnsi="Arial" w:cs="Arial"/>
                <w:b/>
                <w:snapToGrid w:val="0"/>
                <w:sz w:val="22"/>
                <w:szCs w:val="22"/>
              </w:rPr>
            </w:pPr>
            <w:r w:rsidRPr="00B1460D">
              <w:rPr>
                <w:rFonts w:ascii="Arial" w:hAnsi="Arial" w:cs="Arial"/>
                <w:b/>
                <w:snapToGrid w:val="0"/>
                <w:sz w:val="22"/>
                <w:szCs w:val="22"/>
              </w:rPr>
              <w:t>Podíl na celkových způsobilých výdajích (v %)</w:t>
            </w:r>
          </w:p>
        </w:tc>
      </w:tr>
      <w:tr w:rsidR="008F3030" w:rsidRPr="00B1460D" w:rsidTr="002A6B63">
        <w:tc>
          <w:tcPr>
            <w:tcW w:w="4961" w:type="dxa"/>
            <w:shd w:val="clear" w:color="auto" w:fill="auto"/>
          </w:tcPr>
          <w:p w:rsidR="008F3030" w:rsidRPr="00B1460D" w:rsidRDefault="008F3030" w:rsidP="00872ECE">
            <w:pPr>
              <w:widowControl w:val="0"/>
              <w:spacing w:line="360" w:lineRule="auto"/>
              <w:ind w:left="360"/>
              <w:rPr>
                <w:rFonts w:ascii="Arial" w:hAnsi="Arial" w:cs="Arial"/>
                <w:snapToGrid w:val="0"/>
                <w:sz w:val="22"/>
                <w:szCs w:val="22"/>
              </w:rPr>
            </w:pPr>
            <w:r w:rsidRPr="00B1460D">
              <w:rPr>
                <w:rFonts w:ascii="Arial" w:hAnsi="Arial" w:cs="Arial"/>
                <w:snapToGrid w:val="0"/>
                <w:sz w:val="22"/>
                <w:szCs w:val="22"/>
              </w:rPr>
              <w:t>Příspěvek ze strukturálního fondu ERDF/ (dále jen „SF“)</w:t>
            </w:r>
          </w:p>
        </w:tc>
        <w:tc>
          <w:tcPr>
            <w:tcW w:w="2126" w:type="dxa"/>
            <w:shd w:val="clear" w:color="auto" w:fill="auto"/>
            <w:vAlign w:val="center"/>
          </w:tcPr>
          <w:p w:rsidR="008F3030" w:rsidRPr="00B1460D" w:rsidRDefault="00355387" w:rsidP="00872ECE">
            <w:pPr>
              <w:widowControl w:val="0"/>
              <w:spacing w:line="360" w:lineRule="auto"/>
              <w:ind w:left="360"/>
              <w:jc w:val="right"/>
              <w:rPr>
                <w:rFonts w:ascii="Arial" w:hAnsi="Arial" w:cs="Arial"/>
                <w:snapToGrid w:val="0"/>
                <w:sz w:val="22"/>
                <w:szCs w:val="22"/>
              </w:rPr>
            </w:pPr>
            <w:r w:rsidRPr="00B1460D">
              <w:rPr>
                <w:rFonts w:ascii="Arial" w:hAnsi="Arial" w:cs="Arial"/>
                <w:snapToGrid w:val="0"/>
                <w:sz w:val="22"/>
                <w:szCs w:val="22"/>
              </w:rPr>
              <w:t>2 073 099,00</w:t>
            </w:r>
          </w:p>
        </w:tc>
        <w:tc>
          <w:tcPr>
            <w:tcW w:w="2410" w:type="dxa"/>
            <w:shd w:val="clear" w:color="auto" w:fill="auto"/>
            <w:vAlign w:val="center"/>
          </w:tcPr>
          <w:p w:rsidR="008F3030" w:rsidRPr="00B1460D" w:rsidRDefault="00355387" w:rsidP="00872ECE">
            <w:pPr>
              <w:widowControl w:val="0"/>
              <w:spacing w:line="360" w:lineRule="auto"/>
              <w:ind w:left="360"/>
              <w:jc w:val="right"/>
              <w:rPr>
                <w:rFonts w:ascii="Arial" w:hAnsi="Arial" w:cs="Arial"/>
                <w:snapToGrid w:val="0"/>
                <w:sz w:val="22"/>
                <w:szCs w:val="22"/>
              </w:rPr>
            </w:pPr>
            <w:r w:rsidRPr="00B1460D">
              <w:rPr>
                <w:rFonts w:ascii="Arial" w:hAnsi="Arial" w:cs="Arial"/>
                <w:snapToGrid w:val="0"/>
                <w:sz w:val="22"/>
                <w:szCs w:val="22"/>
              </w:rPr>
              <w:t xml:space="preserve"> 85 </w:t>
            </w:r>
            <w:r w:rsidR="008F3030" w:rsidRPr="00B1460D">
              <w:rPr>
                <w:rFonts w:ascii="Arial" w:hAnsi="Arial" w:cs="Arial"/>
                <w:snapToGrid w:val="0"/>
                <w:sz w:val="22"/>
                <w:szCs w:val="22"/>
              </w:rPr>
              <w:t>podíl</w:t>
            </w:r>
          </w:p>
        </w:tc>
      </w:tr>
      <w:tr w:rsidR="008F3030" w:rsidRPr="00B1460D" w:rsidTr="002A6B63">
        <w:tc>
          <w:tcPr>
            <w:tcW w:w="4961" w:type="dxa"/>
            <w:shd w:val="clear" w:color="auto" w:fill="auto"/>
          </w:tcPr>
          <w:p w:rsidR="008F3030" w:rsidRPr="00B1460D" w:rsidRDefault="008F3030" w:rsidP="00872ECE">
            <w:pPr>
              <w:widowControl w:val="0"/>
              <w:spacing w:line="360" w:lineRule="auto"/>
              <w:ind w:left="360"/>
              <w:rPr>
                <w:rFonts w:ascii="Arial" w:hAnsi="Arial" w:cs="Arial"/>
                <w:snapToGrid w:val="0"/>
                <w:sz w:val="22"/>
                <w:szCs w:val="22"/>
              </w:rPr>
            </w:pPr>
            <w:r w:rsidRPr="00B1460D">
              <w:rPr>
                <w:rFonts w:ascii="Arial" w:hAnsi="Arial" w:cs="Arial"/>
                <w:snapToGrid w:val="0"/>
                <w:sz w:val="22"/>
                <w:szCs w:val="22"/>
              </w:rPr>
              <w:t>Vlastní spolufinancování</w:t>
            </w:r>
          </w:p>
        </w:tc>
        <w:tc>
          <w:tcPr>
            <w:tcW w:w="2126" w:type="dxa"/>
            <w:shd w:val="clear" w:color="auto" w:fill="auto"/>
            <w:vAlign w:val="center"/>
          </w:tcPr>
          <w:p w:rsidR="008F3030" w:rsidRPr="00B1460D" w:rsidRDefault="00355387" w:rsidP="00872ECE">
            <w:pPr>
              <w:widowControl w:val="0"/>
              <w:spacing w:line="360" w:lineRule="auto"/>
              <w:ind w:left="360"/>
              <w:jc w:val="right"/>
              <w:rPr>
                <w:rFonts w:ascii="Arial" w:hAnsi="Arial" w:cs="Arial"/>
                <w:snapToGrid w:val="0"/>
                <w:sz w:val="22"/>
                <w:szCs w:val="22"/>
              </w:rPr>
            </w:pPr>
            <w:r w:rsidRPr="00B1460D">
              <w:rPr>
                <w:rFonts w:ascii="Arial" w:hAnsi="Arial" w:cs="Arial"/>
                <w:snapToGrid w:val="0"/>
                <w:sz w:val="22"/>
                <w:szCs w:val="22"/>
              </w:rPr>
              <w:t>365 841,00</w:t>
            </w:r>
          </w:p>
        </w:tc>
        <w:tc>
          <w:tcPr>
            <w:tcW w:w="2410" w:type="dxa"/>
            <w:shd w:val="clear" w:color="auto" w:fill="auto"/>
            <w:vAlign w:val="center"/>
          </w:tcPr>
          <w:p w:rsidR="008F3030" w:rsidRPr="00B1460D" w:rsidRDefault="00355387" w:rsidP="00872ECE">
            <w:pPr>
              <w:widowControl w:val="0"/>
              <w:spacing w:line="360" w:lineRule="auto"/>
              <w:ind w:left="360"/>
              <w:jc w:val="right"/>
              <w:rPr>
                <w:rFonts w:ascii="Arial" w:hAnsi="Arial" w:cs="Arial"/>
                <w:snapToGrid w:val="0"/>
                <w:sz w:val="22"/>
                <w:szCs w:val="22"/>
              </w:rPr>
            </w:pPr>
            <w:r w:rsidRPr="00B1460D">
              <w:rPr>
                <w:rFonts w:ascii="Arial" w:hAnsi="Arial" w:cs="Arial"/>
                <w:snapToGrid w:val="0"/>
                <w:sz w:val="22"/>
                <w:szCs w:val="22"/>
              </w:rPr>
              <w:t xml:space="preserve"> 15 </w:t>
            </w:r>
            <w:r w:rsidR="008F3030" w:rsidRPr="00B1460D">
              <w:rPr>
                <w:rFonts w:ascii="Arial" w:hAnsi="Arial" w:cs="Arial"/>
                <w:snapToGrid w:val="0"/>
                <w:sz w:val="22"/>
                <w:szCs w:val="22"/>
              </w:rPr>
              <w:t>podíl</w:t>
            </w:r>
            <w:r w:rsidR="008F3030" w:rsidRPr="00B1460D" w:rsidDel="005479EC">
              <w:rPr>
                <w:rFonts w:ascii="Arial" w:hAnsi="Arial" w:cs="Arial"/>
                <w:snapToGrid w:val="0"/>
                <w:sz w:val="22"/>
                <w:szCs w:val="22"/>
              </w:rPr>
              <w:t xml:space="preserve"> </w:t>
            </w:r>
          </w:p>
        </w:tc>
      </w:tr>
      <w:tr w:rsidR="008F3030" w:rsidRPr="00B1460D" w:rsidTr="002A6B63">
        <w:tc>
          <w:tcPr>
            <w:tcW w:w="4961" w:type="dxa"/>
            <w:shd w:val="clear" w:color="auto" w:fill="auto"/>
          </w:tcPr>
          <w:p w:rsidR="008F3030" w:rsidRPr="00B1460D" w:rsidRDefault="008F3030" w:rsidP="00872ECE">
            <w:pPr>
              <w:widowControl w:val="0"/>
              <w:spacing w:line="360" w:lineRule="auto"/>
              <w:ind w:left="360"/>
              <w:rPr>
                <w:rFonts w:ascii="Arial" w:hAnsi="Arial" w:cs="Arial"/>
                <w:snapToGrid w:val="0"/>
                <w:sz w:val="22"/>
                <w:szCs w:val="22"/>
              </w:rPr>
            </w:pPr>
            <w:r w:rsidRPr="00B1460D">
              <w:rPr>
                <w:rFonts w:ascii="Arial" w:hAnsi="Arial" w:cs="Arial"/>
                <w:snapToGrid w:val="0"/>
                <w:sz w:val="22"/>
                <w:szCs w:val="22"/>
              </w:rPr>
              <w:t>Celkové způsobilé výdaje</w:t>
            </w:r>
            <w:r w:rsidR="000027C6" w:rsidRPr="00B1460D">
              <w:rPr>
                <w:rFonts w:ascii="Arial" w:hAnsi="Arial" w:cs="Arial"/>
                <w:snapToGrid w:val="0"/>
                <w:sz w:val="22"/>
                <w:szCs w:val="22"/>
              </w:rPr>
              <w:t xml:space="preserve"> bez příjmů</w:t>
            </w:r>
          </w:p>
        </w:tc>
        <w:tc>
          <w:tcPr>
            <w:tcW w:w="2126" w:type="dxa"/>
            <w:shd w:val="clear" w:color="auto" w:fill="auto"/>
            <w:vAlign w:val="center"/>
          </w:tcPr>
          <w:p w:rsidR="008F3030" w:rsidRPr="00B1460D" w:rsidRDefault="00355387" w:rsidP="00872ECE">
            <w:pPr>
              <w:widowControl w:val="0"/>
              <w:spacing w:line="360" w:lineRule="auto"/>
              <w:ind w:left="360"/>
              <w:jc w:val="right"/>
              <w:rPr>
                <w:rFonts w:ascii="Arial" w:hAnsi="Arial" w:cs="Arial"/>
                <w:snapToGrid w:val="0"/>
                <w:sz w:val="22"/>
                <w:szCs w:val="22"/>
              </w:rPr>
            </w:pPr>
            <w:r w:rsidRPr="00B1460D">
              <w:rPr>
                <w:rFonts w:ascii="Arial" w:hAnsi="Arial" w:cs="Arial"/>
                <w:snapToGrid w:val="0"/>
                <w:sz w:val="22"/>
                <w:szCs w:val="22"/>
              </w:rPr>
              <w:t>2 438 940,00</w:t>
            </w:r>
          </w:p>
        </w:tc>
        <w:tc>
          <w:tcPr>
            <w:tcW w:w="2410" w:type="dxa"/>
            <w:shd w:val="clear" w:color="auto" w:fill="auto"/>
          </w:tcPr>
          <w:p w:rsidR="008F3030" w:rsidRPr="00B1460D" w:rsidRDefault="008F3030" w:rsidP="00872ECE">
            <w:pPr>
              <w:widowControl w:val="0"/>
              <w:spacing w:line="360" w:lineRule="auto"/>
              <w:ind w:left="360"/>
              <w:jc w:val="right"/>
              <w:rPr>
                <w:rFonts w:ascii="Arial" w:hAnsi="Arial" w:cs="Arial"/>
                <w:snapToGrid w:val="0"/>
                <w:sz w:val="22"/>
                <w:szCs w:val="22"/>
              </w:rPr>
            </w:pPr>
            <w:r w:rsidRPr="00B1460D">
              <w:rPr>
                <w:rFonts w:ascii="Arial" w:hAnsi="Arial" w:cs="Arial"/>
                <w:snapToGrid w:val="0"/>
                <w:sz w:val="22"/>
                <w:szCs w:val="22"/>
              </w:rPr>
              <w:t>100</w:t>
            </w:r>
          </w:p>
        </w:tc>
      </w:tr>
    </w:tbl>
    <w:p w:rsidR="00A7770B" w:rsidRPr="00B1460D" w:rsidRDefault="00A7770B" w:rsidP="008F3030">
      <w:pPr>
        <w:spacing w:line="360" w:lineRule="auto"/>
        <w:ind w:left="372"/>
        <w:jc w:val="both"/>
        <w:rPr>
          <w:rFonts w:ascii="Arial" w:hAnsi="Arial" w:cs="Arial"/>
          <w:sz w:val="22"/>
          <w:szCs w:val="22"/>
        </w:rPr>
      </w:pPr>
    </w:p>
    <w:p w:rsidR="008F3030" w:rsidRPr="00B1460D" w:rsidRDefault="008F3030" w:rsidP="008F3030">
      <w:pPr>
        <w:spacing w:line="360" w:lineRule="auto"/>
        <w:ind w:left="372"/>
        <w:jc w:val="both"/>
        <w:rPr>
          <w:rFonts w:ascii="Arial" w:hAnsi="Arial" w:cs="Arial"/>
          <w:sz w:val="22"/>
          <w:szCs w:val="22"/>
        </w:rPr>
      </w:pPr>
      <w:r w:rsidRPr="00B1460D">
        <w:rPr>
          <w:rFonts w:ascii="Arial" w:hAnsi="Arial" w:cs="Arial"/>
          <w:sz w:val="22"/>
          <w:szCs w:val="22"/>
        </w:rPr>
        <w:t>Příjemce je povinen použít dotaci na způsobilé výdaje dle čl. I odst. 3 Smlouvy, přičemž je povinen dodržet maximální částky u jednotlivých hlavních rozpočtových položek projektu.</w:t>
      </w:r>
      <w:r w:rsidRPr="00B1460D">
        <w:rPr>
          <w:rStyle w:val="Znakapoznpodarou"/>
          <w:rFonts w:ascii="Arial" w:hAnsi="Arial" w:cs="Arial"/>
          <w:sz w:val="22"/>
          <w:szCs w:val="22"/>
        </w:rPr>
        <w:footnoteReference w:id="7"/>
      </w:r>
      <w:r w:rsidRPr="00B1460D" w:rsidDel="006130FF">
        <w:rPr>
          <w:rFonts w:ascii="Arial" w:hAnsi="Arial" w:cs="Arial"/>
          <w:sz w:val="22"/>
          <w:szCs w:val="22"/>
        </w:rPr>
        <w:t xml:space="preserve"> </w:t>
      </w:r>
      <w:r w:rsidRPr="00B1460D">
        <w:rPr>
          <w:rFonts w:ascii="Arial" w:hAnsi="Arial" w:cs="Arial"/>
          <w:sz w:val="22"/>
          <w:szCs w:val="22"/>
        </w:rPr>
        <w:t>V případě, že příjemce dotace v průběhu realizace projektu získá nárok na odpočet DPH na vstupu, nesmí prostředky dotace použít k úhradě předmětné daně ode dne, kdy nastala tato skutečnost. Porušení této podmínky je porušením rozpočtové kázně.</w:t>
      </w:r>
    </w:p>
    <w:p w:rsidR="00355387" w:rsidRPr="00B1460D" w:rsidRDefault="00355387" w:rsidP="008F3030">
      <w:pPr>
        <w:spacing w:line="360" w:lineRule="auto"/>
        <w:ind w:left="372"/>
        <w:jc w:val="both"/>
        <w:rPr>
          <w:rFonts w:ascii="Arial" w:hAnsi="Arial" w:cs="Arial"/>
          <w:sz w:val="22"/>
          <w:szCs w:val="22"/>
        </w:rPr>
      </w:pPr>
    </w:p>
    <w:p w:rsidR="008F3030" w:rsidRPr="00B1460D" w:rsidRDefault="008F3030" w:rsidP="00355387">
      <w:pPr>
        <w:numPr>
          <w:ilvl w:val="0"/>
          <w:numId w:val="19"/>
        </w:numPr>
        <w:tabs>
          <w:tab w:val="clear" w:pos="720"/>
          <w:tab w:val="num" w:pos="426"/>
        </w:tabs>
        <w:spacing w:line="360" w:lineRule="auto"/>
        <w:ind w:left="426"/>
        <w:jc w:val="both"/>
        <w:rPr>
          <w:rFonts w:ascii="Arial" w:hAnsi="Arial" w:cs="Arial"/>
          <w:sz w:val="22"/>
          <w:szCs w:val="22"/>
        </w:rPr>
      </w:pPr>
      <w:r w:rsidRPr="00B1460D">
        <w:rPr>
          <w:rFonts w:ascii="Arial" w:hAnsi="Arial" w:cs="Arial"/>
          <w:sz w:val="22"/>
          <w:szCs w:val="22"/>
        </w:rPr>
        <w:t>Příjemce je oprávněn provést přesun prostředků v rámci rozpočtu projektu uvnitř hlavní rozpočtové položky nebo přesun mezi jednotlivými rozpočtovými položkami, pokud při takovéto změně nedojde ke změně žádné z hlavních rozpočtových položek projektu o více než 15 % její původní výše.</w:t>
      </w:r>
    </w:p>
    <w:p w:rsidR="001D282B" w:rsidRPr="00B1460D" w:rsidRDefault="001D282B" w:rsidP="008F3030">
      <w:pPr>
        <w:spacing w:line="360" w:lineRule="auto"/>
        <w:ind w:left="372"/>
        <w:jc w:val="center"/>
        <w:rPr>
          <w:rFonts w:ascii="Arial" w:hAnsi="Arial" w:cs="Arial"/>
          <w:b/>
          <w:sz w:val="22"/>
          <w:szCs w:val="22"/>
        </w:rPr>
      </w:pPr>
    </w:p>
    <w:p w:rsidR="008F3030" w:rsidRPr="00B1460D" w:rsidRDefault="00A7770B" w:rsidP="008F3030">
      <w:pPr>
        <w:spacing w:line="360" w:lineRule="auto"/>
        <w:ind w:left="12"/>
        <w:jc w:val="center"/>
        <w:rPr>
          <w:rFonts w:ascii="Arial" w:hAnsi="Arial" w:cs="Arial"/>
          <w:b/>
          <w:sz w:val="22"/>
          <w:szCs w:val="22"/>
        </w:rPr>
      </w:pPr>
      <w:r w:rsidRPr="00B1460D">
        <w:rPr>
          <w:rFonts w:ascii="Arial" w:hAnsi="Arial" w:cs="Arial"/>
          <w:b/>
          <w:sz w:val="22"/>
          <w:szCs w:val="22"/>
        </w:rPr>
        <w:br w:type="page"/>
      </w:r>
      <w:r w:rsidR="008F3030" w:rsidRPr="00B1460D">
        <w:rPr>
          <w:rFonts w:ascii="Arial" w:hAnsi="Arial" w:cs="Arial"/>
          <w:b/>
          <w:sz w:val="22"/>
          <w:szCs w:val="22"/>
        </w:rPr>
        <w:t>IV.</w:t>
      </w:r>
    </w:p>
    <w:p w:rsidR="008F3030" w:rsidRPr="00B1460D" w:rsidRDefault="008F3030" w:rsidP="008F3030">
      <w:pPr>
        <w:spacing w:line="360" w:lineRule="auto"/>
        <w:ind w:left="12"/>
        <w:jc w:val="center"/>
        <w:rPr>
          <w:rFonts w:ascii="Arial" w:hAnsi="Arial" w:cs="Arial"/>
          <w:b/>
          <w:sz w:val="22"/>
          <w:szCs w:val="22"/>
        </w:rPr>
      </w:pPr>
      <w:r w:rsidRPr="00B1460D">
        <w:rPr>
          <w:rFonts w:ascii="Arial" w:hAnsi="Arial" w:cs="Arial"/>
          <w:b/>
          <w:sz w:val="22"/>
          <w:szCs w:val="22"/>
        </w:rPr>
        <w:t>Platební podmínky</w:t>
      </w:r>
    </w:p>
    <w:p w:rsidR="008F3030" w:rsidRPr="00B1460D" w:rsidRDefault="008F3030" w:rsidP="002A6B63">
      <w:pPr>
        <w:numPr>
          <w:ilvl w:val="0"/>
          <w:numId w:val="36"/>
        </w:numPr>
        <w:spacing w:line="360" w:lineRule="auto"/>
        <w:ind w:left="426"/>
        <w:jc w:val="both"/>
        <w:rPr>
          <w:rFonts w:ascii="Arial" w:hAnsi="Arial" w:cs="Arial"/>
          <w:sz w:val="22"/>
          <w:szCs w:val="22"/>
        </w:rPr>
      </w:pPr>
      <w:r w:rsidRPr="00B1460D">
        <w:rPr>
          <w:rFonts w:ascii="Arial" w:hAnsi="Arial" w:cs="Arial"/>
          <w:sz w:val="22"/>
          <w:szCs w:val="22"/>
        </w:rPr>
        <w:t>Dotace bude příjemci vyplácena na jeho účet (případně samostatný podúčet). Číslo účtu (podúčtu):</w:t>
      </w:r>
      <w:r w:rsidR="00355387" w:rsidRPr="00B1460D">
        <w:rPr>
          <w:rFonts w:ascii="Arial" w:hAnsi="Arial" w:cs="Arial"/>
          <w:sz w:val="22"/>
          <w:szCs w:val="22"/>
        </w:rPr>
        <w:t xml:space="preserve"> </w:t>
      </w:r>
      <w:r w:rsidR="002A6B63" w:rsidRPr="00B1460D">
        <w:rPr>
          <w:rFonts w:ascii="Arial" w:hAnsi="Arial" w:cs="Arial"/>
          <w:sz w:val="22"/>
          <w:szCs w:val="22"/>
        </w:rPr>
        <w:t xml:space="preserve">4200455470/ 6800 </w:t>
      </w:r>
      <w:r w:rsidRPr="00B1460D">
        <w:rPr>
          <w:rFonts w:ascii="Arial" w:hAnsi="Arial" w:cs="Arial"/>
          <w:sz w:val="22"/>
          <w:szCs w:val="22"/>
        </w:rPr>
        <w:t xml:space="preserve">vedený u </w:t>
      </w:r>
      <w:r w:rsidR="002A6B63" w:rsidRPr="00B1460D">
        <w:rPr>
          <w:rFonts w:ascii="Arial" w:hAnsi="Arial" w:cs="Arial"/>
          <w:sz w:val="22"/>
          <w:szCs w:val="22"/>
        </w:rPr>
        <w:t>Sberbank CZ, a.s.</w:t>
      </w:r>
      <w:r w:rsidRPr="00B1460D">
        <w:rPr>
          <w:rFonts w:ascii="Arial" w:hAnsi="Arial" w:cs="Arial"/>
          <w:sz w:val="22"/>
          <w:szCs w:val="22"/>
        </w:rPr>
        <w:t xml:space="preserve"> Účet, případně samostatný podúčet musí být používán výhradně pro účely této smlouvy.</w:t>
      </w:r>
    </w:p>
    <w:p w:rsidR="008F3030" w:rsidRPr="00B1460D" w:rsidRDefault="008F3030" w:rsidP="008F3030">
      <w:pPr>
        <w:spacing w:line="360" w:lineRule="auto"/>
        <w:ind w:left="360"/>
        <w:jc w:val="both"/>
        <w:rPr>
          <w:rFonts w:ascii="Arial" w:hAnsi="Arial" w:cs="Arial"/>
          <w:sz w:val="22"/>
          <w:szCs w:val="22"/>
        </w:rPr>
      </w:pPr>
    </w:p>
    <w:p w:rsidR="008F3030" w:rsidRPr="00B1460D" w:rsidRDefault="008F3030" w:rsidP="002A6B63">
      <w:pPr>
        <w:numPr>
          <w:ilvl w:val="0"/>
          <w:numId w:val="36"/>
        </w:numPr>
        <w:spacing w:line="360" w:lineRule="auto"/>
        <w:ind w:left="426"/>
        <w:jc w:val="both"/>
        <w:rPr>
          <w:rFonts w:ascii="Arial" w:hAnsi="Arial" w:cs="Arial"/>
          <w:snapToGrid w:val="0"/>
          <w:sz w:val="22"/>
          <w:szCs w:val="22"/>
        </w:rPr>
      </w:pPr>
      <w:r w:rsidRPr="00B1460D">
        <w:rPr>
          <w:rFonts w:ascii="Arial" w:hAnsi="Arial" w:cs="Arial"/>
          <w:sz w:val="22"/>
          <w:szCs w:val="22"/>
        </w:rPr>
        <w:t xml:space="preserve">Poskytování dotace probíhá formou zpětného proplácení finančních prostředků, které příjemce vynaložil na realizaci projektu v souladu s předpokládaným finančním plánem projektu, který je přílohou této smlouvy. </w:t>
      </w:r>
      <w:r w:rsidRPr="00B1460D">
        <w:rPr>
          <w:rFonts w:ascii="Arial" w:hAnsi="Arial" w:cs="Arial"/>
          <w:snapToGrid w:val="0"/>
          <w:sz w:val="22"/>
          <w:szCs w:val="22"/>
        </w:rPr>
        <w:t xml:space="preserve">Příjemce je povinen podat Žádost o platbu do 30 kalendářních dní od ukončení první etapy projektu a dále předkládat poskytovateli žádost o platbu nejpozději 30 dnů po ukončení realizace projektu nebo časové etapy projektu. Náležitosti Žádosti o platbu projektu jsou stanoveny v Příručce pro žadatele a příjemce </w:t>
      </w:r>
      <w:r w:rsidRPr="00B1460D">
        <w:rPr>
          <w:rFonts w:ascii="Arial" w:hAnsi="Arial" w:cs="Arial"/>
          <w:sz w:val="22"/>
          <w:szCs w:val="22"/>
        </w:rPr>
        <w:t>ROP NUTS 2 Jihovýchod</w:t>
      </w:r>
      <w:r w:rsidRPr="00B1460D">
        <w:rPr>
          <w:rFonts w:ascii="Arial" w:hAnsi="Arial" w:cs="Arial"/>
          <w:snapToGrid w:val="0"/>
          <w:sz w:val="22"/>
          <w:szCs w:val="22"/>
        </w:rPr>
        <w:t>.</w:t>
      </w:r>
      <w:bookmarkStart w:id="2" w:name="OLE_LINK4"/>
      <w:bookmarkStart w:id="3" w:name="OLE_LINK5"/>
      <w:r w:rsidRPr="00B1460D">
        <w:rPr>
          <w:rFonts w:ascii="Arial" w:hAnsi="Arial" w:cs="Arial"/>
          <w:b/>
          <w:i/>
          <w:sz w:val="22"/>
          <w:szCs w:val="22"/>
        </w:rPr>
        <w:t xml:space="preserve"> </w:t>
      </w:r>
      <w:r w:rsidRPr="00B1460D">
        <w:rPr>
          <w:rFonts w:ascii="Arial" w:hAnsi="Arial" w:cs="Arial"/>
          <w:snapToGrid w:val="0"/>
          <w:sz w:val="22"/>
          <w:szCs w:val="22"/>
        </w:rPr>
        <w:t xml:space="preserve">Nedodržení lhůty pro podání Žádosti o platbu o více než 30 dnů bez podání žádosti o změnu může mít za následek nezpůsobilost výdajů uskutečněných v dané etapě. Změna objemu plánované Žádosti o platbu o více než 15% bez podání žádosti o změnu, může mít za následek nezpůsobilost výdajů uskutečněných v dané etapě, kterých se změna objemu týká. </w:t>
      </w:r>
      <w:bookmarkEnd w:id="2"/>
      <w:bookmarkEnd w:id="3"/>
      <w:r w:rsidRPr="00B1460D">
        <w:rPr>
          <w:rFonts w:ascii="Arial" w:hAnsi="Arial" w:cs="Arial"/>
          <w:snapToGrid w:val="0"/>
          <w:sz w:val="22"/>
          <w:szCs w:val="22"/>
        </w:rPr>
        <w:t>Rozhodnutí o proplacení si v těchto případech vyhrazuje poskytovatel.</w:t>
      </w:r>
    </w:p>
    <w:p w:rsidR="008F3030" w:rsidRPr="00B1460D" w:rsidRDefault="008F3030" w:rsidP="008F3030">
      <w:pPr>
        <w:spacing w:line="360" w:lineRule="auto"/>
        <w:jc w:val="both"/>
        <w:rPr>
          <w:rFonts w:ascii="Arial" w:hAnsi="Arial" w:cs="Arial"/>
          <w:sz w:val="22"/>
          <w:szCs w:val="22"/>
        </w:rPr>
      </w:pPr>
    </w:p>
    <w:p w:rsidR="00E11DAB" w:rsidRPr="00B1460D" w:rsidRDefault="008F3030" w:rsidP="002A6B63">
      <w:pPr>
        <w:numPr>
          <w:ilvl w:val="0"/>
          <w:numId w:val="36"/>
        </w:numPr>
        <w:spacing w:line="360" w:lineRule="auto"/>
        <w:ind w:left="426"/>
        <w:jc w:val="both"/>
        <w:rPr>
          <w:rFonts w:ascii="Arial" w:hAnsi="Arial" w:cs="Arial"/>
          <w:sz w:val="22"/>
          <w:szCs w:val="22"/>
        </w:rPr>
      </w:pPr>
      <w:r w:rsidRPr="00B1460D">
        <w:rPr>
          <w:rFonts w:ascii="Arial" w:hAnsi="Arial" w:cs="Arial"/>
          <w:iCs/>
          <w:sz w:val="22"/>
          <w:szCs w:val="22"/>
        </w:rPr>
        <w:t xml:space="preserve">Platební termín je určen lhůtou zpravidla v délce 69 dní od předložení žádosti o platbu ze strany příjemce. V případě, že žádost nebude úplná nebo bezchybná, lhůta se přerušuje až do odstranění vytčených nedostatků. </w:t>
      </w:r>
      <w:r w:rsidRPr="00B1460D">
        <w:rPr>
          <w:rFonts w:ascii="Arial" w:hAnsi="Arial" w:cs="Arial"/>
          <w:bCs/>
          <w:iCs/>
          <w:sz w:val="22"/>
          <w:szCs w:val="22"/>
        </w:rPr>
        <w:t>Poskytovatel je oprávněn tuto lhůtu překročit v případě, nastane-li objektivní událost, kterou poskytovatel nemohl předpokládat. Poskytovatel poskytne dotaci příjemci bez zbytečného prodlení po zániku objektivní události.</w:t>
      </w:r>
      <w:r w:rsidRPr="00B1460D">
        <w:rPr>
          <w:rFonts w:ascii="Arial" w:hAnsi="Arial" w:cs="Arial"/>
          <w:iCs/>
          <w:sz w:val="22"/>
          <w:szCs w:val="22"/>
        </w:rPr>
        <w:t xml:space="preserve"> </w:t>
      </w:r>
    </w:p>
    <w:p w:rsidR="008F3030" w:rsidRPr="00B1460D" w:rsidRDefault="008F3030" w:rsidP="008F3030">
      <w:pPr>
        <w:spacing w:line="360" w:lineRule="auto"/>
        <w:ind w:left="720"/>
        <w:jc w:val="both"/>
        <w:rPr>
          <w:rFonts w:ascii="Arial" w:hAnsi="Arial" w:cs="Arial"/>
          <w:sz w:val="22"/>
          <w:szCs w:val="22"/>
        </w:rPr>
      </w:pPr>
    </w:p>
    <w:p w:rsidR="008F3030" w:rsidRPr="00B1460D" w:rsidRDefault="008F3030" w:rsidP="002A6B63">
      <w:pPr>
        <w:numPr>
          <w:ilvl w:val="0"/>
          <w:numId w:val="36"/>
        </w:numPr>
        <w:spacing w:line="360" w:lineRule="auto"/>
        <w:ind w:left="426"/>
        <w:jc w:val="both"/>
        <w:rPr>
          <w:rFonts w:ascii="Arial" w:hAnsi="Arial" w:cs="Arial"/>
          <w:sz w:val="22"/>
          <w:szCs w:val="22"/>
        </w:rPr>
      </w:pPr>
      <w:r w:rsidRPr="00B1460D">
        <w:rPr>
          <w:rFonts w:ascii="Arial" w:hAnsi="Arial" w:cs="Arial"/>
          <w:sz w:val="22"/>
          <w:szCs w:val="22"/>
        </w:rPr>
        <w:t xml:space="preserve">Příjemci budou uhrazeny jen výdaje, které příjemce prokazatelně uhradil a doložil příslušným účetním dokladem. Výdaje lze uhradit prostřednictvím bankovního převodu či v hotovosti. Uhrazení se prokazuje na základě bankovních výpisů. Platby v hotovosti budou způsobilé pouze do výše pět tisíc korun českých včetně DPH pro každou jednotlivou platbu. Dokladem o provedení plateb v hotovosti budou pokladní doklady. </w:t>
      </w:r>
    </w:p>
    <w:p w:rsidR="00787E35" w:rsidRPr="00B1460D" w:rsidRDefault="00787E35" w:rsidP="00612C0E">
      <w:pPr>
        <w:spacing w:line="360" w:lineRule="auto"/>
        <w:ind w:left="720"/>
        <w:jc w:val="both"/>
        <w:rPr>
          <w:rFonts w:ascii="Arial" w:hAnsi="Arial" w:cs="Arial"/>
          <w:sz w:val="22"/>
          <w:szCs w:val="22"/>
        </w:rPr>
      </w:pPr>
    </w:p>
    <w:p w:rsidR="008F3030" w:rsidRPr="00B1460D" w:rsidRDefault="008F3030" w:rsidP="002A6B63">
      <w:pPr>
        <w:numPr>
          <w:ilvl w:val="0"/>
          <w:numId w:val="36"/>
        </w:numPr>
        <w:spacing w:line="360" w:lineRule="auto"/>
        <w:ind w:left="426"/>
        <w:jc w:val="both"/>
        <w:rPr>
          <w:rFonts w:ascii="Arial" w:hAnsi="Arial" w:cs="Arial"/>
          <w:sz w:val="22"/>
          <w:szCs w:val="22"/>
        </w:rPr>
      </w:pPr>
      <w:r w:rsidRPr="00B1460D">
        <w:rPr>
          <w:rFonts w:ascii="Arial" w:hAnsi="Arial" w:cs="Arial"/>
          <w:sz w:val="22"/>
          <w:szCs w:val="22"/>
        </w:rPr>
        <w:t>Příjemce je povinen nejpozději v okamžiku podání poslední Žádosti o platbu odečíst od celkových způsobilých výdajů příjmy z realizace projektu.</w:t>
      </w:r>
    </w:p>
    <w:p w:rsidR="008F3030" w:rsidRPr="00B1460D" w:rsidRDefault="008F3030" w:rsidP="008F3030">
      <w:pPr>
        <w:pStyle w:val="Odstavecseseznamem"/>
        <w:rPr>
          <w:rFonts w:ascii="Arial" w:hAnsi="Arial" w:cs="Arial"/>
          <w:sz w:val="22"/>
          <w:szCs w:val="22"/>
        </w:rPr>
      </w:pPr>
    </w:p>
    <w:p w:rsidR="008F3030" w:rsidRPr="00B1460D" w:rsidRDefault="008F3030" w:rsidP="002A6B63">
      <w:pPr>
        <w:numPr>
          <w:ilvl w:val="0"/>
          <w:numId w:val="36"/>
        </w:numPr>
        <w:spacing w:line="360" w:lineRule="auto"/>
        <w:ind w:left="426"/>
        <w:jc w:val="both"/>
        <w:rPr>
          <w:rFonts w:ascii="Arial" w:hAnsi="Arial" w:cs="Arial"/>
          <w:sz w:val="22"/>
          <w:szCs w:val="22"/>
        </w:rPr>
      </w:pPr>
      <w:r w:rsidRPr="00B1460D">
        <w:rPr>
          <w:rFonts w:ascii="Arial" w:hAnsi="Arial" w:cs="Arial"/>
          <w:sz w:val="22"/>
          <w:szCs w:val="22"/>
        </w:rPr>
        <w:t>U projektů vytvářejících příjmy dle čl. 55 Nařízení rady č. 1083/2006, u nichž je možné příjmy odhadnout předem, je příjemce povinen nejpozději v okamžiku podání poslední Žádosti o platbu provést aktualizaci výpočtu finanční mezery. Pokud  je aktualizovaný výpočet finanční mezery alespoň o 10 % nižší než  v této smlouvě,  bude příjemce vyzván k navrácení části proplacených prostředků. Příjemce má v takovém případě povinnost požadované prostředky bez zbytečného prodlení vrátit do rozpočtu poskytovatele. Příjemce prostředky vrací na účet, který mu poskytovatel sdělí. Při vracení dotace je příjemce povinen uvést stejný variabilní symbol, pod kterým obdržel platbu dotace.</w:t>
      </w:r>
    </w:p>
    <w:p w:rsidR="008F3030" w:rsidRPr="00B1460D" w:rsidRDefault="008F3030" w:rsidP="008F3030">
      <w:pPr>
        <w:pStyle w:val="Odstavecseseznamem"/>
        <w:rPr>
          <w:rFonts w:ascii="Arial" w:hAnsi="Arial" w:cs="Arial"/>
          <w:sz w:val="22"/>
          <w:szCs w:val="22"/>
        </w:rPr>
      </w:pPr>
    </w:p>
    <w:p w:rsidR="008F3030" w:rsidRPr="00B1460D" w:rsidRDefault="008F3030" w:rsidP="002A6B63">
      <w:pPr>
        <w:numPr>
          <w:ilvl w:val="0"/>
          <w:numId w:val="36"/>
        </w:numPr>
        <w:spacing w:line="360" w:lineRule="auto"/>
        <w:ind w:left="426"/>
        <w:jc w:val="both"/>
        <w:rPr>
          <w:rFonts w:ascii="Arial" w:hAnsi="Arial" w:cs="Arial"/>
          <w:sz w:val="22"/>
          <w:szCs w:val="22"/>
        </w:rPr>
      </w:pPr>
      <w:r w:rsidRPr="00B1460D">
        <w:rPr>
          <w:rFonts w:ascii="Arial" w:hAnsi="Arial" w:cs="Arial"/>
          <w:sz w:val="22"/>
          <w:szCs w:val="22"/>
        </w:rPr>
        <w:t>U projektů vytvářejících příjmy neodhadnutelné předem dle čl. 55 Nařízení rady č. 1083/2006 je příjemce povinen v okamžiku uplynutí 5 let od ukončení realizace projektu vypočíst skutečnou výši finanční mezery projektu na základě dosud realizovaných čistých příjmů projektu alokovaných na způsobilou část investičních výdajů projektu poměrným způsobem, přepočítat výši podpory a rozdíl mezi vypočtenou a poskytnutou podporou odvést řídícímu orgánu ve lhůtě do 30 kalendářních dnů na účet, který mu řídící orgán sdělí. Při vracení dotace je příjemce povinen uvést stejný variabilní symbol, pod kterým obdržel platbu dotace. Přepočet finanční mezery a výše podpory uvede příjemce v monitorovací zprávě.</w:t>
      </w:r>
    </w:p>
    <w:p w:rsidR="008F3030" w:rsidRPr="00B1460D" w:rsidRDefault="008F3030" w:rsidP="008F3030">
      <w:pPr>
        <w:pStyle w:val="Odstavecseseznamem"/>
        <w:rPr>
          <w:rFonts w:ascii="Arial" w:hAnsi="Arial" w:cs="Arial"/>
          <w:sz w:val="22"/>
          <w:szCs w:val="22"/>
        </w:rPr>
      </w:pPr>
    </w:p>
    <w:p w:rsidR="008F3030" w:rsidRPr="00B1460D" w:rsidRDefault="008F3030" w:rsidP="002A6B63">
      <w:pPr>
        <w:numPr>
          <w:ilvl w:val="0"/>
          <w:numId w:val="36"/>
        </w:numPr>
        <w:spacing w:line="360" w:lineRule="auto"/>
        <w:ind w:left="426"/>
        <w:jc w:val="both"/>
        <w:rPr>
          <w:rFonts w:ascii="Arial" w:hAnsi="Arial" w:cs="Arial"/>
          <w:sz w:val="22"/>
          <w:szCs w:val="22"/>
        </w:rPr>
      </w:pPr>
      <w:r w:rsidRPr="00B1460D">
        <w:rPr>
          <w:rFonts w:ascii="Arial" w:hAnsi="Arial" w:cs="Arial"/>
          <w:sz w:val="22"/>
          <w:szCs w:val="22"/>
        </w:rPr>
        <w:t>Vývoj výše finanční mezery bude sledován až do okamžiku uzavření programu. Do té doby tedy může být příjemce na základě aktualizace výpočtu finanční mezery vyzván k navrácení části proplacených prostředků. Příjemce má v takovém případě povinnost prostředky bez zbytečného prodlení vrátit do rozpočtu poskytovatele. Příjemce prostředky vrací na účet, který mu poskytovatel sdělí. Při vracení dotace je příjemce povinen uvést stejný variabilní symbol, pod kterým obdržel platbu dotace.</w:t>
      </w:r>
    </w:p>
    <w:p w:rsidR="00355387" w:rsidRPr="00B1460D" w:rsidRDefault="00355387" w:rsidP="008F3030">
      <w:pPr>
        <w:spacing w:line="360" w:lineRule="auto"/>
        <w:ind w:left="12"/>
        <w:jc w:val="center"/>
        <w:rPr>
          <w:rFonts w:ascii="Arial" w:hAnsi="Arial" w:cs="Arial"/>
          <w:b/>
          <w:sz w:val="22"/>
          <w:szCs w:val="22"/>
        </w:rPr>
      </w:pPr>
      <w:bookmarkStart w:id="4" w:name="OLE_LINK1"/>
      <w:bookmarkStart w:id="5" w:name="OLE_LINK2"/>
    </w:p>
    <w:p w:rsidR="008F3030" w:rsidRPr="00B1460D" w:rsidRDefault="008F3030" w:rsidP="008F3030">
      <w:pPr>
        <w:spacing w:line="360" w:lineRule="auto"/>
        <w:ind w:left="12"/>
        <w:jc w:val="center"/>
        <w:rPr>
          <w:rFonts w:ascii="Arial" w:hAnsi="Arial" w:cs="Arial"/>
          <w:b/>
          <w:sz w:val="22"/>
          <w:szCs w:val="22"/>
        </w:rPr>
      </w:pPr>
      <w:r w:rsidRPr="00B1460D">
        <w:rPr>
          <w:rFonts w:ascii="Arial" w:hAnsi="Arial" w:cs="Arial"/>
          <w:b/>
          <w:sz w:val="22"/>
          <w:szCs w:val="22"/>
        </w:rPr>
        <w:t>V.</w:t>
      </w:r>
    </w:p>
    <w:p w:rsidR="008F3030" w:rsidRPr="00B1460D" w:rsidRDefault="008F3030" w:rsidP="008F3030">
      <w:pPr>
        <w:spacing w:line="360" w:lineRule="auto"/>
        <w:ind w:left="12"/>
        <w:jc w:val="center"/>
        <w:rPr>
          <w:rFonts w:ascii="Arial" w:hAnsi="Arial" w:cs="Arial"/>
          <w:b/>
          <w:sz w:val="22"/>
          <w:szCs w:val="22"/>
        </w:rPr>
      </w:pPr>
      <w:r w:rsidRPr="00B1460D">
        <w:rPr>
          <w:rFonts w:ascii="Arial" w:hAnsi="Arial" w:cs="Arial"/>
          <w:b/>
          <w:sz w:val="22"/>
          <w:szCs w:val="22"/>
        </w:rPr>
        <w:t>Povinnosti příjemce</w:t>
      </w:r>
    </w:p>
    <w:p w:rsidR="008F3030" w:rsidRPr="00B1460D" w:rsidRDefault="008F3030" w:rsidP="002A6B63">
      <w:pPr>
        <w:numPr>
          <w:ilvl w:val="0"/>
          <w:numId w:val="24"/>
        </w:numPr>
        <w:tabs>
          <w:tab w:val="clear" w:pos="720"/>
        </w:tabs>
        <w:spacing w:line="360" w:lineRule="auto"/>
        <w:ind w:left="426"/>
        <w:jc w:val="both"/>
        <w:rPr>
          <w:rFonts w:ascii="Arial" w:hAnsi="Arial" w:cs="Arial"/>
          <w:snapToGrid w:val="0"/>
          <w:sz w:val="22"/>
          <w:szCs w:val="22"/>
        </w:rPr>
      </w:pPr>
      <w:r w:rsidRPr="00B1460D">
        <w:rPr>
          <w:rFonts w:ascii="Arial" w:hAnsi="Arial" w:cs="Arial"/>
          <w:sz w:val="22"/>
          <w:szCs w:val="22"/>
        </w:rPr>
        <w:t>Příjemce se zavazuje plně a prokazatelně splnit účel</w:t>
      </w:r>
      <w:r w:rsidR="003617DC" w:rsidRPr="00B1460D">
        <w:rPr>
          <w:rFonts w:ascii="Arial" w:hAnsi="Arial" w:cs="Arial"/>
          <w:sz w:val="22"/>
          <w:szCs w:val="22"/>
        </w:rPr>
        <w:t xml:space="preserve"> a</w:t>
      </w:r>
      <w:r w:rsidR="0009169C" w:rsidRPr="00B1460D">
        <w:rPr>
          <w:rFonts w:ascii="Arial" w:hAnsi="Arial" w:cs="Arial"/>
          <w:sz w:val="22"/>
          <w:szCs w:val="22"/>
        </w:rPr>
        <w:t xml:space="preserve"> </w:t>
      </w:r>
      <w:r w:rsidR="003617DC" w:rsidRPr="00B1460D">
        <w:rPr>
          <w:rFonts w:ascii="Arial" w:hAnsi="Arial" w:cs="Arial"/>
          <w:sz w:val="22"/>
          <w:szCs w:val="22"/>
        </w:rPr>
        <w:t>cíl</w:t>
      </w:r>
      <w:r w:rsidRPr="00B1460D">
        <w:rPr>
          <w:rFonts w:ascii="Arial" w:hAnsi="Arial" w:cs="Arial"/>
          <w:sz w:val="22"/>
          <w:szCs w:val="22"/>
        </w:rPr>
        <w:t xml:space="preserve">, na který mu byla dotace poskytnuta </w:t>
      </w:r>
      <w:r w:rsidRPr="00B1460D">
        <w:rPr>
          <w:rFonts w:ascii="Arial" w:hAnsi="Arial" w:cs="Arial"/>
          <w:snapToGrid w:val="0"/>
          <w:sz w:val="22"/>
          <w:szCs w:val="22"/>
        </w:rPr>
        <w:t xml:space="preserve">a to v rozsahu uvedeném v článku I. této smlouvy a dodržet jej po dobu udržitelnosti stanovenou pro plnění účelu projektu. Doba udržitelnosti projektu činí pět let ode dne </w:t>
      </w:r>
      <w:r w:rsidRPr="00B1460D">
        <w:rPr>
          <w:rFonts w:ascii="Arial" w:hAnsi="Arial" w:cs="Arial"/>
          <w:sz w:val="22"/>
          <w:szCs w:val="22"/>
        </w:rPr>
        <w:t>skutečného předložení závěrečné žádosti o platbu</w:t>
      </w:r>
      <w:r w:rsidRPr="00B1460D">
        <w:rPr>
          <w:rFonts w:ascii="Arial" w:hAnsi="Arial" w:cs="Arial"/>
          <w:snapToGrid w:val="0"/>
          <w:sz w:val="22"/>
          <w:szCs w:val="22"/>
        </w:rPr>
        <w:t>, a to v souladu s čl. 57 Nařízení Rady (ES) č. 1083/2006, o obecných ustanoveních o Evropském fondu pro regionální rozvoj, Evropském sociálním fondu a Fondu soudržnosti a o zrušení nařízení (ES) č. 1260/1999.</w:t>
      </w:r>
    </w:p>
    <w:p w:rsidR="008F3030" w:rsidRPr="00B1460D" w:rsidRDefault="008F3030" w:rsidP="008F3030">
      <w:pPr>
        <w:spacing w:line="360" w:lineRule="auto"/>
        <w:ind w:left="372"/>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 xml:space="preserve">Příjemce je povinen realizovat projekt v souladu se žádostí o poskytnutí dotace, ve stavu ke dni </w:t>
      </w:r>
      <w:r w:rsidR="00CA5011" w:rsidRPr="00B1460D">
        <w:rPr>
          <w:rFonts w:ascii="Arial" w:hAnsi="Arial" w:cs="Arial"/>
          <w:sz w:val="22"/>
          <w:szCs w:val="22"/>
        </w:rPr>
        <w:t xml:space="preserve">uzavření </w:t>
      </w:r>
      <w:r w:rsidRPr="00B1460D">
        <w:rPr>
          <w:rFonts w:ascii="Arial" w:hAnsi="Arial" w:cs="Arial"/>
          <w:sz w:val="22"/>
          <w:szCs w:val="22"/>
        </w:rPr>
        <w:t>smlouvy. V případě rozporů mezi žádostí a touto smlouv</w:t>
      </w:r>
      <w:r w:rsidR="00512A1B" w:rsidRPr="00B1460D">
        <w:rPr>
          <w:rFonts w:ascii="Arial" w:hAnsi="Arial" w:cs="Arial"/>
          <w:sz w:val="22"/>
          <w:szCs w:val="22"/>
        </w:rPr>
        <w:t>ou</w:t>
      </w:r>
      <w:r w:rsidRPr="00B1460D">
        <w:rPr>
          <w:rFonts w:ascii="Arial" w:hAnsi="Arial" w:cs="Arial"/>
          <w:sz w:val="22"/>
          <w:szCs w:val="22"/>
        </w:rPr>
        <w:t>, platí údaje uvedené v této smlouvě nebo přílohách této smlouvy a jejich pozdějších dodatcích.</w:t>
      </w:r>
    </w:p>
    <w:p w:rsidR="00512A1B" w:rsidRPr="00B1460D" w:rsidRDefault="00512A1B" w:rsidP="00512A1B">
      <w:pPr>
        <w:pStyle w:val="Odstavecseseznamem"/>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Příjemce, který je zadavatelem podle zákona č. 137/2006 Sb., o veřejných zakázkách, ve znění pozdějších předpisů je povinen při realizaci projektu uskutečňovat zadávání veřejných zakázek v souladu s podmínkami stanovenými zákonem a v případě zakázek malého rozsahu v souladu s Pokyny pro zadávání zakázek, které jsou obsaženy v Příručce pro žadatele a příjemce ROP NUTS 2 Jihovýchod. Příjemci, na které se zákon č. 137/2006 Sb., o veřejných zakázkách, ve znění pozdějších předpisů nevztahuje, jsou povinni při realizaci projektu uskutečňovat zadávání veřejných zakázek v souladu s pokyny p</w:t>
      </w:r>
      <w:r w:rsidR="00355387" w:rsidRPr="00B1460D">
        <w:rPr>
          <w:rFonts w:ascii="Arial" w:hAnsi="Arial" w:cs="Arial"/>
          <w:sz w:val="22"/>
          <w:szCs w:val="22"/>
        </w:rPr>
        <w:t xml:space="preserve">ro zadávání zakázek, které jsou </w:t>
      </w:r>
      <w:r w:rsidRPr="00B1460D">
        <w:rPr>
          <w:rFonts w:ascii="Arial" w:hAnsi="Arial" w:cs="Arial"/>
          <w:sz w:val="22"/>
          <w:szCs w:val="22"/>
        </w:rPr>
        <w:t>obsaženy v Příručce pro žadatele a příjemce ROP NUTS 2 Jihovýchod.</w:t>
      </w:r>
      <w:r w:rsidR="005E7F5D" w:rsidRPr="00B1460D">
        <w:rPr>
          <w:rFonts w:ascii="Arial" w:hAnsi="Arial" w:cs="Arial"/>
          <w:sz w:val="22"/>
          <w:szCs w:val="22"/>
        </w:rPr>
        <w:t xml:space="preserve"> </w:t>
      </w:r>
    </w:p>
    <w:p w:rsidR="00355387" w:rsidRPr="00B1460D" w:rsidRDefault="00355387" w:rsidP="00355387">
      <w:pPr>
        <w:spacing w:line="360" w:lineRule="auto"/>
        <w:ind w:left="709"/>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 xml:space="preserve">Příjemce je povinen dohodnout s dodavateli předmětu projektu fakturační podmínky tak, aby byl doložen účel fakturovaných částek a aby byly přesně vymezeny jednotlivé způsobilé a nezpůsobilé výdaje. </w:t>
      </w:r>
    </w:p>
    <w:p w:rsidR="00355387" w:rsidRPr="00B1460D" w:rsidRDefault="00355387" w:rsidP="00355387">
      <w:pPr>
        <w:spacing w:line="360" w:lineRule="auto"/>
        <w:ind w:left="720"/>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napToGrid w:val="0"/>
          <w:sz w:val="22"/>
          <w:szCs w:val="22"/>
        </w:rPr>
      </w:pPr>
      <w:r w:rsidRPr="00B1460D">
        <w:rPr>
          <w:rFonts w:ascii="Arial" w:hAnsi="Arial" w:cs="Arial"/>
          <w:sz w:val="22"/>
          <w:szCs w:val="22"/>
        </w:rPr>
        <w:t xml:space="preserve">Příjemce je povinen </w:t>
      </w:r>
      <w:r w:rsidRPr="00B1460D">
        <w:rPr>
          <w:rFonts w:ascii="Arial" w:hAnsi="Arial" w:cs="Arial"/>
          <w:snapToGrid w:val="0"/>
          <w:sz w:val="22"/>
          <w:szCs w:val="22"/>
        </w:rPr>
        <w:t>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8F3030" w:rsidRPr="00B1460D" w:rsidRDefault="008F3030" w:rsidP="008F3030">
      <w:pPr>
        <w:spacing w:line="360" w:lineRule="auto"/>
        <w:jc w:val="both"/>
        <w:rPr>
          <w:rFonts w:ascii="Arial" w:hAnsi="Arial" w:cs="Arial"/>
          <w:snapToGrid w:val="0"/>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 xml:space="preserve">Příjemce se zavazuje neprodleně poskytovateli oznámit jakékoliv zamýšlené změny v průběhu realizace projektu, jakožto i všechny změny a skutečnosti, které mají vliv na plnění Smlouvy (např. prohlášení konkurzu, insolvenční návrh, změna právní formy, fúze, uložení trestu či sankce ve správním či soudním řízení s vlivem na projekt či plnění Smlouvy apod.). Příjemce se zavazuje, že neprovede žádnou změnu do doby, kdy obdrží písemný souhlas poskytovatele s provedením změny, s výjimkou změny harmonogramu projektu, kdy se uplatní postup dle čl. II bod 5 a přesunu prostředků dle čl. III odst. 5. Žádost o změnu projektu musí příjemce písemně předložit příslušnému územnímu odboru Úřadu Regionální rady nejpozději do 30 kalendářních dnů před vznikem požadované změny. V odůvodněných případech může poskytovatel přijmout i změnu oznámenou ve lhůtě kratší, nejméně však sedmi kalendářních dnů před vznikem požadované změny. Dojde-li ke změně projektu nezávisle na vůli příjemce, je povinen tuto změnu oznámit do sedmi kalendářních dnů ode dne, kdy se o ní dozvěděl. Podle charakteru ohlášené změny navrhne poskytovatel příjemci změnu této smlouvy, odstoupení od smlouvy popř. jiný postup. </w:t>
      </w:r>
    </w:p>
    <w:p w:rsidR="008F3030" w:rsidRPr="00B1460D" w:rsidRDefault="008F3030" w:rsidP="008F3030">
      <w:pPr>
        <w:pStyle w:val="Odstavecseseznamem"/>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Pokud by mezi hlavními položkami rozpočtu projektu mělo dojít k přesunům, při kterých se změní některá z těchto hlavních položek o více než 15 % z objemu své původní výše poskytovatel posoudí nutnost takové změny ve vztahu k naplnění cílů projektu a v případě schválení změny bude vypracován dodatek ke Smlouvě o poskytnutí dotace.</w:t>
      </w:r>
    </w:p>
    <w:p w:rsidR="008F3030" w:rsidRPr="00B1460D" w:rsidRDefault="008F3030" w:rsidP="008F3030">
      <w:pPr>
        <w:spacing w:line="360" w:lineRule="auto"/>
        <w:ind w:left="360"/>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 xml:space="preserve">Příjemce souhlasí a spolupracuje s kontrolami ze strany: poskytovatele, třetích osob pověřených poskytovatelem, Ministerstva </w:t>
      </w:r>
      <w:r w:rsidRPr="00B1460D">
        <w:rPr>
          <w:rFonts w:ascii="Arial" w:hAnsi="Arial" w:cs="Arial"/>
          <w:snapToGrid w:val="0"/>
          <w:sz w:val="22"/>
          <w:szCs w:val="22"/>
        </w:rPr>
        <w:t>financí ČR, Evropské komise, Evropského účetního dvora a Nejvyššího kontrolního úřadu ČR. Těmto subjektům je povinen zpřístupnit zejména veškerou dokumentaci k projektu, včetně účetních dokladů</w:t>
      </w:r>
      <w:r w:rsidR="00AA1847" w:rsidRPr="00B1460D">
        <w:rPr>
          <w:rFonts w:ascii="Arial" w:hAnsi="Arial" w:cs="Arial"/>
          <w:snapToGrid w:val="0"/>
          <w:sz w:val="22"/>
          <w:szCs w:val="22"/>
        </w:rPr>
        <w:t>.</w:t>
      </w:r>
      <w:r w:rsidR="00B51DE0" w:rsidRPr="00B1460D">
        <w:rPr>
          <w:rFonts w:ascii="Arial" w:hAnsi="Arial" w:cs="Arial"/>
          <w:snapToGrid w:val="0"/>
          <w:sz w:val="22"/>
          <w:szCs w:val="22"/>
        </w:rPr>
        <w:t xml:space="preserve"> </w:t>
      </w:r>
    </w:p>
    <w:p w:rsidR="008F3030" w:rsidRPr="00B1460D" w:rsidDel="003A2404" w:rsidRDefault="008F3030" w:rsidP="008F3030">
      <w:pPr>
        <w:spacing w:line="360" w:lineRule="auto"/>
        <w:ind w:left="12"/>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 xml:space="preserve">Příjemce je povinen řádně uchovávat </w:t>
      </w:r>
      <w:r w:rsidRPr="00B1460D">
        <w:rPr>
          <w:rFonts w:ascii="Arial" w:hAnsi="Arial" w:cs="Arial"/>
          <w:snapToGrid w:val="0"/>
          <w:sz w:val="22"/>
          <w:szCs w:val="22"/>
        </w:rPr>
        <w:t>originál smlouvy včetně jejích případných dodatků a její přílohy, veškeré originály účetních dokladů</w:t>
      </w:r>
      <w:r w:rsidR="009B3A51" w:rsidRPr="00B1460D">
        <w:rPr>
          <w:rFonts w:ascii="Arial" w:hAnsi="Arial" w:cs="Arial"/>
          <w:snapToGrid w:val="0"/>
          <w:sz w:val="22"/>
          <w:szCs w:val="22"/>
        </w:rPr>
        <w:t>, případně dokladů pro daňovou evidenci</w:t>
      </w:r>
      <w:r w:rsidRPr="00B1460D">
        <w:rPr>
          <w:rFonts w:ascii="Arial" w:hAnsi="Arial" w:cs="Arial"/>
          <w:snapToGrid w:val="0"/>
          <w:sz w:val="22"/>
          <w:szCs w:val="22"/>
        </w:rPr>
        <w:t xml:space="preserve"> a originály projektové dokumentace a dalších dokumentů souvisejících s realizací </w:t>
      </w:r>
      <w:r w:rsidRPr="00B1460D">
        <w:rPr>
          <w:rFonts w:ascii="Arial" w:hAnsi="Arial" w:cs="Arial"/>
          <w:sz w:val="22"/>
          <w:szCs w:val="22"/>
        </w:rPr>
        <w:t>projektu</w:t>
      </w:r>
      <w:r w:rsidR="009B3A51" w:rsidRPr="00B1460D">
        <w:rPr>
          <w:rFonts w:ascii="Arial" w:hAnsi="Arial" w:cs="Arial"/>
          <w:sz w:val="22"/>
          <w:szCs w:val="22"/>
        </w:rPr>
        <w:t xml:space="preserve"> (zejm</w:t>
      </w:r>
      <w:r w:rsidR="00F57E1C" w:rsidRPr="00B1460D">
        <w:rPr>
          <w:rFonts w:ascii="Arial" w:hAnsi="Arial" w:cs="Arial"/>
          <w:sz w:val="22"/>
          <w:szCs w:val="22"/>
        </w:rPr>
        <w:t>éna</w:t>
      </w:r>
      <w:r w:rsidR="009B3A51" w:rsidRPr="00B1460D">
        <w:rPr>
          <w:rFonts w:ascii="Arial" w:hAnsi="Arial" w:cs="Arial"/>
          <w:sz w:val="22"/>
          <w:szCs w:val="22"/>
        </w:rPr>
        <w:t xml:space="preserve"> dokumentace o zakázkách, závažná korespondence včetně emailové, dokumentac</w:t>
      </w:r>
      <w:r w:rsidR="002813B4" w:rsidRPr="00B1460D">
        <w:rPr>
          <w:rFonts w:ascii="Arial" w:hAnsi="Arial" w:cs="Arial"/>
          <w:sz w:val="22"/>
          <w:szCs w:val="22"/>
        </w:rPr>
        <w:t xml:space="preserve">e </w:t>
      </w:r>
      <w:r w:rsidR="009B3A51" w:rsidRPr="00B1460D">
        <w:rPr>
          <w:rFonts w:ascii="Arial" w:hAnsi="Arial" w:cs="Arial"/>
          <w:sz w:val="22"/>
          <w:szCs w:val="22"/>
        </w:rPr>
        <w:t>stavby apod.)</w:t>
      </w:r>
      <w:r w:rsidRPr="00B1460D">
        <w:rPr>
          <w:rFonts w:ascii="Arial" w:hAnsi="Arial" w:cs="Arial"/>
          <w:sz w:val="22"/>
          <w:szCs w:val="22"/>
        </w:rPr>
        <w:t xml:space="preserve"> po dobu deseti let od ukončení financování projektu, zároveň však alespoň do doby uplynutí tří let od ukončení programu dle čl. </w:t>
      </w:r>
      <w:smartTag w:uri="urn:schemas-microsoft-com:office:smarttags" w:element="metricconverter">
        <w:smartTagPr>
          <w:attr w:name="ProductID" w:val="88 a"/>
        </w:smartTagPr>
        <w:r w:rsidRPr="00B1460D">
          <w:rPr>
            <w:rFonts w:ascii="Arial" w:hAnsi="Arial" w:cs="Arial"/>
            <w:sz w:val="22"/>
            <w:szCs w:val="22"/>
          </w:rPr>
          <w:t>88 a</w:t>
        </w:r>
      </w:smartTag>
      <w:r w:rsidRPr="00B1460D">
        <w:rPr>
          <w:rFonts w:ascii="Arial" w:hAnsi="Arial" w:cs="Arial"/>
          <w:sz w:val="22"/>
          <w:szCs w:val="22"/>
        </w:rPr>
        <w:t xml:space="preserve"> následujících  Nařízení Rady (ES) 1083/2006, o obecných ustanoveních o Evropském fondu pro regionální rozvoj, Evropském sociálním fondu a Fondu soudržnosti</w:t>
      </w:r>
      <w:r w:rsidR="00355387" w:rsidRPr="00B1460D">
        <w:rPr>
          <w:rFonts w:ascii="Arial" w:hAnsi="Arial" w:cs="Arial"/>
          <w:sz w:val="22"/>
          <w:szCs w:val="22"/>
        </w:rPr>
        <w:t>.</w:t>
      </w:r>
    </w:p>
    <w:p w:rsidR="00355387" w:rsidRPr="00B1460D" w:rsidRDefault="00355387" w:rsidP="00355387">
      <w:pPr>
        <w:spacing w:line="360" w:lineRule="auto"/>
        <w:ind w:left="720"/>
        <w:jc w:val="both"/>
        <w:rPr>
          <w:rFonts w:ascii="Arial" w:hAnsi="Arial" w:cs="Arial"/>
          <w:sz w:val="22"/>
          <w:szCs w:val="22"/>
        </w:rPr>
      </w:pPr>
    </w:p>
    <w:p w:rsidR="008F3030" w:rsidRPr="00B1460D" w:rsidRDefault="002813B4"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 xml:space="preserve">Příjemce se zavazuje vést doklady dle </w:t>
      </w:r>
      <w:r w:rsidR="002F4247" w:rsidRPr="00B1460D">
        <w:rPr>
          <w:rFonts w:ascii="Arial" w:hAnsi="Arial" w:cs="Arial"/>
          <w:sz w:val="22"/>
          <w:szCs w:val="22"/>
        </w:rPr>
        <w:t>odst.</w:t>
      </w:r>
      <w:r w:rsidRPr="00B1460D">
        <w:rPr>
          <w:rFonts w:ascii="Arial" w:hAnsi="Arial" w:cs="Arial"/>
          <w:sz w:val="22"/>
          <w:szCs w:val="22"/>
        </w:rPr>
        <w:t xml:space="preserve"> </w:t>
      </w:r>
      <w:r w:rsidR="005A5B91" w:rsidRPr="00B1460D">
        <w:rPr>
          <w:rFonts w:ascii="Arial" w:hAnsi="Arial" w:cs="Arial"/>
          <w:sz w:val="22"/>
          <w:szCs w:val="22"/>
        </w:rPr>
        <w:t>9</w:t>
      </w:r>
      <w:r w:rsidRPr="00B1460D">
        <w:rPr>
          <w:rFonts w:ascii="Arial" w:hAnsi="Arial" w:cs="Arial"/>
          <w:sz w:val="22"/>
          <w:szCs w:val="22"/>
        </w:rPr>
        <w:t xml:space="preserve"> správně, úplně, průkazně, srozumitelně, přehledně a způsobem zaručujícím jejich trvalost. </w:t>
      </w:r>
      <w:r w:rsidR="008F3030" w:rsidRPr="00B1460D">
        <w:rPr>
          <w:rFonts w:ascii="Arial" w:hAnsi="Arial" w:cs="Arial"/>
          <w:sz w:val="22"/>
          <w:szCs w:val="22"/>
        </w:rPr>
        <w:t>Příjemce je v</w:t>
      </w:r>
      <w:r w:rsidR="00D34929" w:rsidRPr="00B1460D">
        <w:rPr>
          <w:rFonts w:ascii="Arial" w:hAnsi="Arial" w:cs="Arial"/>
          <w:sz w:val="22"/>
          <w:szCs w:val="22"/>
        </w:rPr>
        <w:t>e</w:t>
      </w:r>
      <w:r w:rsidR="008F3030" w:rsidRPr="00B1460D">
        <w:rPr>
          <w:rFonts w:ascii="Arial" w:hAnsi="Arial" w:cs="Arial"/>
          <w:sz w:val="22"/>
          <w:szCs w:val="22"/>
        </w:rPr>
        <w:t xml:space="preserve">  lhůtě </w:t>
      </w:r>
      <w:r w:rsidR="00D34929" w:rsidRPr="00B1460D">
        <w:rPr>
          <w:rFonts w:ascii="Arial" w:hAnsi="Arial" w:cs="Arial"/>
          <w:sz w:val="22"/>
          <w:szCs w:val="22"/>
        </w:rPr>
        <w:t xml:space="preserve">uvedené v odst. </w:t>
      </w:r>
      <w:r w:rsidR="005A5B91" w:rsidRPr="00B1460D">
        <w:rPr>
          <w:rFonts w:ascii="Arial" w:hAnsi="Arial" w:cs="Arial"/>
          <w:sz w:val="22"/>
          <w:szCs w:val="22"/>
        </w:rPr>
        <w:t>9</w:t>
      </w:r>
      <w:r w:rsidR="00D34929" w:rsidRPr="00B1460D">
        <w:rPr>
          <w:rFonts w:ascii="Arial" w:hAnsi="Arial" w:cs="Arial"/>
          <w:sz w:val="22"/>
          <w:szCs w:val="22"/>
        </w:rPr>
        <w:t xml:space="preserve"> </w:t>
      </w:r>
      <w:r w:rsidR="008F3030" w:rsidRPr="00B1460D">
        <w:rPr>
          <w:rFonts w:ascii="Arial" w:hAnsi="Arial" w:cs="Arial"/>
          <w:sz w:val="22"/>
          <w:szCs w:val="22"/>
        </w:rPr>
        <w:t>povinen za účelem ověřování plnění podmínek této smlouvy poskytovat požadované informace a dokumentaci zaměstnancům nebo zmocněncům orgánů uvedených v  čl. V bodu 8 této smlouvy.</w:t>
      </w:r>
      <w:r w:rsidR="00B51DE0" w:rsidRPr="00B1460D">
        <w:rPr>
          <w:rFonts w:ascii="Arial" w:hAnsi="Arial" w:cs="Arial"/>
          <w:sz w:val="22"/>
          <w:szCs w:val="22"/>
        </w:rPr>
        <w:t xml:space="preserve"> </w:t>
      </w:r>
    </w:p>
    <w:p w:rsidR="008F3030" w:rsidRPr="00B1460D" w:rsidRDefault="008F3030" w:rsidP="008F3030">
      <w:pPr>
        <w:spacing w:line="360" w:lineRule="auto"/>
        <w:ind w:left="12"/>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Příjemce</w:t>
      </w:r>
      <w:r w:rsidRPr="00B1460D" w:rsidDel="00A50060">
        <w:rPr>
          <w:rFonts w:ascii="Arial" w:hAnsi="Arial" w:cs="Arial"/>
          <w:sz w:val="22"/>
          <w:szCs w:val="22"/>
        </w:rPr>
        <w:t xml:space="preserve"> </w:t>
      </w:r>
      <w:r w:rsidRPr="00B1460D">
        <w:rPr>
          <w:rFonts w:ascii="Arial" w:hAnsi="Arial" w:cs="Arial"/>
          <w:sz w:val="22"/>
          <w:szCs w:val="22"/>
        </w:rPr>
        <w:t>je povinen realizovat opatření k odstranění nedostatků zjištěných při veřejnoprávní kontrole, která mu byla uložena orgány uvedenými v  čl. V bodu 8 této smlouvy, na základě prováděných kontrol, a to v termínu, rozsahu a kvalitě podle požadavků stanovených příslušným kontrolním orgánem. Informace o provedení a výsledku kontrol je příjemce povinen zahrnovat do pravidelných monitorovacích zpráv o projektu.</w:t>
      </w:r>
    </w:p>
    <w:p w:rsidR="0009169C" w:rsidRPr="00B1460D" w:rsidRDefault="0009169C" w:rsidP="00612C0E">
      <w:pPr>
        <w:spacing w:line="360" w:lineRule="auto"/>
        <w:ind w:left="720"/>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w:t>
      </w:r>
      <w:r w:rsidR="00512A1B" w:rsidRPr="00B1460D">
        <w:rPr>
          <w:rFonts w:ascii="Arial" w:hAnsi="Arial" w:cs="Arial"/>
          <w:sz w:val="22"/>
          <w:szCs w:val="22"/>
        </w:rPr>
        <w:t>e zákona č. 586/1992 Sb., o daních</w:t>
      </w:r>
      <w:r w:rsidRPr="00B1460D">
        <w:rPr>
          <w:rFonts w:ascii="Arial" w:hAnsi="Arial" w:cs="Arial"/>
          <w:sz w:val="22"/>
          <w:szCs w:val="22"/>
        </w:rPr>
        <w:t xml:space="preserve"> z příjmu, ve znění pozdějších předpisů, rozšířenou o dodatečné požadavky:</w:t>
      </w:r>
    </w:p>
    <w:p w:rsidR="008F3030" w:rsidRPr="00B1460D" w:rsidRDefault="008F3030" w:rsidP="002A6B63">
      <w:pPr>
        <w:numPr>
          <w:ilvl w:val="1"/>
          <w:numId w:val="24"/>
        </w:numPr>
        <w:tabs>
          <w:tab w:val="clear" w:pos="1440"/>
        </w:tabs>
        <w:spacing w:line="360" w:lineRule="auto"/>
        <w:ind w:left="709"/>
        <w:jc w:val="both"/>
        <w:rPr>
          <w:rFonts w:ascii="Arial" w:hAnsi="Arial" w:cs="Arial"/>
          <w:sz w:val="22"/>
          <w:szCs w:val="22"/>
        </w:rPr>
      </w:pPr>
      <w:r w:rsidRPr="00B1460D">
        <w:rPr>
          <w:rFonts w:ascii="Arial" w:hAnsi="Arial" w:cs="Arial"/>
          <w:sz w:val="22"/>
          <w:szCs w:val="22"/>
        </w:rPr>
        <w:t>příslušný doklad musí splňovat předepsané náležitosti účetního dokladu ve smyslu § 11 zákona č. 563/1991 Sb., o účetnictví, ve znění pozdějších předpisů (s výjimkou podpisového záznamu osoby odpovědné za jeho zaúčtování dle bodu f) pro subjekty, které nevedou účetnictví, ale daňovou evidenci)</w:t>
      </w:r>
      <w:r w:rsidR="003617DC" w:rsidRPr="00B1460D">
        <w:rPr>
          <w:rFonts w:ascii="Arial" w:hAnsi="Arial" w:cs="Arial"/>
          <w:sz w:val="22"/>
          <w:szCs w:val="22"/>
        </w:rPr>
        <w:t xml:space="preserve"> a v souladu s</w:t>
      </w:r>
      <w:r w:rsidR="00F53C63" w:rsidRPr="00B1460D">
        <w:rPr>
          <w:rFonts w:ascii="Arial" w:hAnsi="Arial" w:cs="Arial"/>
          <w:sz w:val="22"/>
          <w:szCs w:val="22"/>
        </w:rPr>
        <w:t> </w:t>
      </w:r>
      <w:r w:rsidR="003617DC" w:rsidRPr="00B1460D">
        <w:rPr>
          <w:rFonts w:ascii="Arial" w:hAnsi="Arial" w:cs="Arial"/>
          <w:sz w:val="22"/>
          <w:szCs w:val="22"/>
        </w:rPr>
        <w:t>dalšími</w:t>
      </w:r>
      <w:r w:rsidR="00F53C63" w:rsidRPr="00B1460D">
        <w:rPr>
          <w:rFonts w:ascii="Arial" w:hAnsi="Arial" w:cs="Arial"/>
          <w:sz w:val="22"/>
          <w:szCs w:val="22"/>
        </w:rPr>
        <w:t xml:space="preserve"> </w:t>
      </w:r>
      <w:r w:rsidR="003617DC" w:rsidRPr="00B1460D">
        <w:rPr>
          <w:rFonts w:ascii="Arial" w:hAnsi="Arial" w:cs="Arial"/>
          <w:sz w:val="22"/>
          <w:szCs w:val="22"/>
        </w:rPr>
        <w:t>zákony</w:t>
      </w:r>
      <w:r w:rsidRPr="00B1460D">
        <w:rPr>
          <w:rFonts w:ascii="Arial" w:hAnsi="Arial" w:cs="Arial"/>
          <w:sz w:val="22"/>
          <w:szCs w:val="22"/>
        </w:rPr>
        <w:t>,</w:t>
      </w:r>
      <w:r w:rsidR="00F53C63" w:rsidRPr="00B1460D">
        <w:rPr>
          <w:rFonts w:ascii="Arial" w:hAnsi="Arial" w:cs="Arial"/>
          <w:sz w:val="22"/>
          <w:szCs w:val="22"/>
        </w:rPr>
        <w:t xml:space="preserve"> které upravují náležitosti účetních (daňových) dokladů</w:t>
      </w:r>
    </w:p>
    <w:p w:rsidR="008F3030" w:rsidRPr="00B1460D" w:rsidRDefault="008F3030" w:rsidP="002A6B63">
      <w:pPr>
        <w:numPr>
          <w:ilvl w:val="1"/>
          <w:numId w:val="24"/>
        </w:numPr>
        <w:tabs>
          <w:tab w:val="clear" w:pos="1440"/>
        </w:tabs>
        <w:spacing w:line="360" w:lineRule="auto"/>
        <w:ind w:left="709"/>
        <w:jc w:val="both"/>
        <w:rPr>
          <w:rFonts w:ascii="Arial" w:hAnsi="Arial" w:cs="Arial"/>
          <w:sz w:val="22"/>
          <w:szCs w:val="22"/>
        </w:rPr>
      </w:pPr>
      <w:r w:rsidRPr="00B1460D">
        <w:rPr>
          <w:rFonts w:ascii="Arial" w:hAnsi="Arial" w:cs="Arial"/>
          <w:sz w:val="22"/>
          <w:szCs w:val="22"/>
        </w:rPr>
        <w:t>předmětné doklady musí být správné, úplné, průkazné, srozumitelné a průběžně chronologicky vedené způsobem zaručujícím jejich trvalost</w:t>
      </w:r>
    </w:p>
    <w:p w:rsidR="008F3030" w:rsidRPr="00B1460D" w:rsidRDefault="008F3030" w:rsidP="002A6B63">
      <w:pPr>
        <w:numPr>
          <w:ilvl w:val="1"/>
          <w:numId w:val="24"/>
        </w:numPr>
        <w:tabs>
          <w:tab w:val="clear" w:pos="1440"/>
        </w:tabs>
        <w:spacing w:line="360" w:lineRule="auto"/>
        <w:ind w:left="709"/>
        <w:jc w:val="both"/>
        <w:rPr>
          <w:rFonts w:ascii="Arial" w:hAnsi="Arial" w:cs="Arial"/>
          <w:sz w:val="22"/>
          <w:szCs w:val="22"/>
        </w:rPr>
      </w:pPr>
      <w:r w:rsidRPr="00B1460D">
        <w:rPr>
          <w:rFonts w:ascii="Arial" w:hAnsi="Arial" w:cs="Arial"/>
          <w:sz w:val="22"/>
          <w:szCs w:val="22"/>
        </w:rPr>
        <w:t>při kontrole poskytne příjemce kontrolnímu orgánu na vyžádání daňovou evidenci v plném rozsahu</w:t>
      </w:r>
    </w:p>
    <w:p w:rsidR="008F3030" w:rsidRPr="00B1460D" w:rsidRDefault="008F3030" w:rsidP="002A6B63">
      <w:pPr>
        <w:numPr>
          <w:ilvl w:val="1"/>
          <w:numId w:val="24"/>
        </w:numPr>
        <w:tabs>
          <w:tab w:val="clear" w:pos="1440"/>
        </w:tabs>
        <w:spacing w:line="360" w:lineRule="auto"/>
        <w:ind w:left="709"/>
        <w:jc w:val="both"/>
        <w:rPr>
          <w:rFonts w:ascii="Arial" w:hAnsi="Arial" w:cs="Arial"/>
          <w:sz w:val="22"/>
          <w:szCs w:val="22"/>
        </w:rPr>
      </w:pPr>
      <w:r w:rsidRPr="00B1460D">
        <w:rPr>
          <w:rFonts w:ascii="Arial" w:hAnsi="Arial" w:cs="Arial"/>
          <w:sz w:val="22"/>
          <w:szCs w:val="22"/>
        </w:rPr>
        <w:t>uskutečněné příjmy a výdaje jsou analyticky vedeny ve vztahu k příslušnému projektu, ke kterému se vážou, tzn. že na dokladech musí být jednoznačně uvedeno, ke kterému projektu se vztahují.</w:t>
      </w:r>
    </w:p>
    <w:p w:rsidR="00AA1847" w:rsidRPr="00B1460D" w:rsidRDefault="00AA1847" w:rsidP="00612C0E">
      <w:pPr>
        <w:spacing w:line="360" w:lineRule="auto"/>
        <w:ind w:left="709"/>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Příjemce je povinen naplnit monitorovací ukazatele uvedené v této smlouvě a udržet je po dobu pěti let ode dne skutečného předložení závěrečné žádosti o platbu. Zavazuje-li se příjemce k naplnění indikátoru pracovního místa, je povinen pracovní místo vytvořit do jednoho roku od ukončení realizace projektu. Příjemce je povinen zachovat nově vytvořená pracovní místa po dobu udržitelnosti projektu. Příjemce je povinen zajistit, že po dobu pěti</w:t>
      </w:r>
      <w:r w:rsidRPr="00B1460D">
        <w:rPr>
          <w:rFonts w:ascii="Arial" w:hAnsi="Arial" w:cs="Arial"/>
          <w:bCs/>
          <w:iCs/>
          <w:sz w:val="22"/>
          <w:szCs w:val="22"/>
        </w:rPr>
        <w:t xml:space="preserve"> let od </w:t>
      </w:r>
      <w:r w:rsidRPr="00B1460D">
        <w:rPr>
          <w:rFonts w:ascii="Arial" w:hAnsi="Arial" w:cs="Arial"/>
          <w:sz w:val="22"/>
          <w:szCs w:val="22"/>
        </w:rPr>
        <w:t>skutečného předložení závěrečné žádosti o platbu</w:t>
      </w:r>
      <w:r w:rsidRPr="00B1460D" w:rsidDel="006376BC">
        <w:rPr>
          <w:rFonts w:ascii="Arial" w:hAnsi="Arial" w:cs="Arial"/>
          <w:bCs/>
          <w:iCs/>
          <w:sz w:val="22"/>
          <w:szCs w:val="22"/>
        </w:rPr>
        <w:t xml:space="preserve"> </w:t>
      </w:r>
      <w:r w:rsidRPr="00B1460D">
        <w:rPr>
          <w:rFonts w:ascii="Arial" w:hAnsi="Arial" w:cs="Arial"/>
          <w:sz w:val="22"/>
          <w:szCs w:val="22"/>
        </w:rPr>
        <w:t>neprojde podstatnou změnou definovanou v čl. 57 odst. 1 nařízení Rady (ES) č. 1083/2006 o obecných ustanoveních o Evropském fondu pro regionální rozvoj, Evropském sociálním fondu a Fondu soudržnosti a o zrušení nařízení (ES) č. 1260/1999.</w:t>
      </w:r>
    </w:p>
    <w:p w:rsidR="008F3030" w:rsidRPr="00B1460D" w:rsidRDefault="008F3030" w:rsidP="008F3030">
      <w:pPr>
        <w:spacing w:line="360" w:lineRule="auto"/>
        <w:ind w:left="360" w:firstLine="60"/>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8F3030" w:rsidRPr="00B1460D" w:rsidRDefault="008F3030" w:rsidP="008F3030">
      <w:pPr>
        <w:spacing w:line="360" w:lineRule="auto"/>
        <w:ind w:left="12"/>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Příjemce je povinen zasílat poskytovateli monitorovací zprávy a hlášení podle postupu uvedeného v Příručce pro žadatele a příjemce ROP NUTS 2 Jihovýchod.</w:t>
      </w:r>
    </w:p>
    <w:p w:rsidR="008F3030" w:rsidRPr="00B1460D" w:rsidRDefault="008F3030" w:rsidP="008F3030">
      <w:pPr>
        <w:spacing w:line="360" w:lineRule="auto"/>
        <w:ind w:left="12"/>
        <w:jc w:val="both"/>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 xml:space="preserve">Po dobu realizace projektu a po dobu udržitelnosti projektu je příjemce povinen s veškerým majetkem získaným, byť i jen částečně, z dotace nakládat s péčí řádného hospodáře. Věcné břemeno je možné zřídit pouze se souhlasem poskytovatele a za úplatu. </w:t>
      </w:r>
    </w:p>
    <w:p w:rsidR="008F3030" w:rsidRPr="00B1460D" w:rsidRDefault="008F3030" w:rsidP="008F3030">
      <w:pPr>
        <w:pStyle w:val="Odstavecseseznamem"/>
        <w:rPr>
          <w:rFonts w:ascii="Arial" w:hAnsi="Arial" w:cs="Arial"/>
          <w:sz w:val="22"/>
          <w:szCs w:val="22"/>
        </w:rPr>
      </w:pPr>
    </w:p>
    <w:p w:rsidR="008F3030" w:rsidRPr="00B1460D" w:rsidRDefault="008F3030" w:rsidP="002A6B63">
      <w:pPr>
        <w:numPr>
          <w:ilvl w:val="0"/>
          <w:numId w:val="24"/>
        </w:numPr>
        <w:tabs>
          <w:tab w:val="clear" w:pos="720"/>
        </w:tabs>
        <w:spacing w:line="360" w:lineRule="auto"/>
        <w:ind w:left="426"/>
        <w:jc w:val="both"/>
        <w:rPr>
          <w:rFonts w:ascii="Arial" w:hAnsi="Arial" w:cs="Arial"/>
          <w:sz w:val="22"/>
          <w:szCs w:val="22"/>
        </w:rPr>
      </w:pPr>
      <w:r w:rsidRPr="00B1460D">
        <w:rPr>
          <w:rFonts w:ascii="Arial" w:hAnsi="Arial" w:cs="Arial"/>
          <w:sz w:val="22"/>
          <w:szCs w:val="22"/>
        </w:rPr>
        <w:t>Příjemce nesmí majetek pořízený byť i jen částečně z  dotace zatížit v době realizace projektu a době udržitelnosti projektu zástavním právem</w:t>
      </w:r>
      <w:r w:rsidR="00F17B53" w:rsidRPr="00B1460D">
        <w:rPr>
          <w:rFonts w:ascii="Arial" w:hAnsi="Arial" w:cs="Arial"/>
          <w:sz w:val="22"/>
          <w:szCs w:val="22"/>
        </w:rPr>
        <w:t xml:space="preserve"> a právem stavby</w:t>
      </w:r>
      <w:r w:rsidRPr="00B1460D">
        <w:rPr>
          <w:rFonts w:ascii="Arial" w:hAnsi="Arial" w:cs="Arial"/>
          <w:sz w:val="22"/>
          <w:szCs w:val="22"/>
        </w:rPr>
        <w:t xml:space="preserve"> bez předchozího písemného souhlasu poskytovatele. Zákaz zastavení majetku bez předchozího písemného souhlasu poskytovatele se týká i majetku příjemce, který je použit pro realizaci projektu. </w:t>
      </w:r>
    </w:p>
    <w:p w:rsidR="008F3030" w:rsidRPr="00B1460D" w:rsidRDefault="008F3030" w:rsidP="008F3030">
      <w:pPr>
        <w:spacing w:line="360" w:lineRule="auto"/>
        <w:jc w:val="both"/>
        <w:rPr>
          <w:rFonts w:ascii="Arial" w:hAnsi="Arial" w:cs="Arial"/>
          <w:sz w:val="22"/>
          <w:szCs w:val="22"/>
        </w:rPr>
      </w:pPr>
    </w:p>
    <w:p w:rsidR="008F3030" w:rsidRPr="00B1460D" w:rsidRDefault="008F3030" w:rsidP="002A6B63">
      <w:pPr>
        <w:numPr>
          <w:ilvl w:val="0"/>
          <w:numId w:val="24"/>
        </w:numPr>
        <w:tabs>
          <w:tab w:val="clear" w:pos="720"/>
          <w:tab w:val="num" w:pos="426"/>
        </w:tabs>
        <w:spacing w:line="360" w:lineRule="auto"/>
        <w:ind w:left="426"/>
        <w:jc w:val="both"/>
        <w:rPr>
          <w:rFonts w:ascii="Arial" w:hAnsi="Arial" w:cs="Arial"/>
          <w:sz w:val="22"/>
          <w:szCs w:val="22"/>
        </w:rPr>
      </w:pPr>
      <w:r w:rsidRPr="00B1460D">
        <w:rPr>
          <w:rFonts w:ascii="Arial" w:hAnsi="Arial" w:cs="Arial"/>
          <w:sz w:val="22"/>
          <w:szCs w:val="22"/>
        </w:rPr>
        <w:t xml:space="preserve">Příjemce nesmí majetek pořízený z poskytnuté dotace po dobu realizace projektu a po dobu udržitelnosti projektu </w:t>
      </w:r>
      <w:r w:rsidR="00F17B53" w:rsidRPr="00B1460D">
        <w:rPr>
          <w:rFonts w:ascii="Arial" w:hAnsi="Arial" w:cs="Arial"/>
          <w:sz w:val="22"/>
          <w:szCs w:val="22"/>
        </w:rPr>
        <w:t xml:space="preserve">zcizit </w:t>
      </w:r>
      <w:r w:rsidRPr="00B1460D">
        <w:rPr>
          <w:rFonts w:ascii="Arial" w:hAnsi="Arial" w:cs="Arial"/>
          <w:sz w:val="22"/>
          <w:szCs w:val="22"/>
        </w:rPr>
        <w:t>bez předchozího písemného souhlasu poskytovatele. Příjemce musí zajistit, aby nový nabyvatel či uživatel (např. nájemce) převzal závazky, které vyplývají z pravidel veřejné podpory a z povinnosti realizace a udržitelnosti projektu, souvisí-li tyto závazky s tímto majetkem.</w:t>
      </w:r>
    </w:p>
    <w:p w:rsidR="008F3030" w:rsidRPr="00B1460D" w:rsidRDefault="008F3030" w:rsidP="002A6B63">
      <w:pPr>
        <w:tabs>
          <w:tab w:val="num" w:pos="426"/>
        </w:tabs>
        <w:spacing w:line="360" w:lineRule="auto"/>
        <w:ind w:left="12"/>
        <w:jc w:val="both"/>
        <w:rPr>
          <w:rFonts w:ascii="Arial" w:hAnsi="Arial" w:cs="Arial"/>
          <w:sz w:val="22"/>
          <w:szCs w:val="22"/>
        </w:rPr>
      </w:pPr>
    </w:p>
    <w:p w:rsidR="008F3030" w:rsidRPr="00B1460D" w:rsidRDefault="008F3030" w:rsidP="002A6B63">
      <w:pPr>
        <w:numPr>
          <w:ilvl w:val="0"/>
          <w:numId w:val="24"/>
        </w:numPr>
        <w:tabs>
          <w:tab w:val="clear" w:pos="720"/>
          <w:tab w:val="num" w:pos="426"/>
        </w:tabs>
        <w:spacing w:line="360" w:lineRule="auto"/>
        <w:ind w:left="426"/>
        <w:jc w:val="both"/>
        <w:rPr>
          <w:rFonts w:ascii="Arial" w:hAnsi="Arial" w:cs="Arial"/>
          <w:iCs/>
          <w:sz w:val="22"/>
          <w:szCs w:val="22"/>
        </w:rPr>
      </w:pPr>
      <w:r w:rsidRPr="00B1460D">
        <w:rPr>
          <w:rFonts w:ascii="Arial" w:hAnsi="Arial" w:cs="Arial"/>
          <w:sz w:val="22"/>
          <w:szCs w:val="22"/>
        </w:rPr>
        <w:t xml:space="preserve">Příjemce </w:t>
      </w:r>
      <w:r w:rsidR="007038A5" w:rsidRPr="00B1460D">
        <w:rPr>
          <w:rFonts w:ascii="Arial" w:hAnsi="Arial" w:cs="Arial"/>
          <w:sz w:val="22"/>
          <w:szCs w:val="22"/>
        </w:rPr>
        <w:t xml:space="preserve">je oprávněn </w:t>
      </w:r>
      <w:r w:rsidRPr="00B1460D">
        <w:rPr>
          <w:rFonts w:ascii="Arial" w:hAnsi="Arial" w:cs="Arial"/>
          <w:sz w:val="22"/>
          <w:szCs w:val="22"/>
        </w:rPr>
        <w:t xml:space="preserve">majetek pořízený z dotace </w:t>
      </w:r>
      <w:r w:rsidR="000815F2" w:rsidRPr="00B1460D">
        <w:rPr>
          <w:rFonts w:ascii="Arial" w:hAnsi="Arial" w:cs="Arial"/>
          <w:sz w:val="22"/>
          <w:szCs w:val="22"/>
        </w:rPr>
        <w:t xml:space="preserve">přenechat k užití </w:t>
      </w:r>
      <w:r w:rsidRPr="00B1460D">
        <w:rPr>
          <w:rFonts w:ascii="Arial" w:hAnsi="Arial" w:cs="Arial"/>
          <w:sz w:val="22"/>
          <w:szCs w:val="22"/>
        </w:rPr>
        <w:t>jiné osobě, avšak tento úkon musí být proveden na základě otevřeného výběrového řízení v souladu se zásadami transparentnosti, nediskriminace a rovného zacházení a s</w:t>
      </w:r>
      <w:r w:rsidR="007038A5" w:rsidRPr="00B1460D">
        <w:rPr>
          <w:rFonts w:ascii="Arial" w:hAnsi="Arial" w:cs="Arial"/>
          <w:sz w:val="22"/>
          <w:szCs w:val="22"/>
        </w:rPr>
        <w:t xml:space="preserve"> předchozím </w:t>
      </w:r>
      <w:r w:rsidRPr="00B1460D">
        <w:rPr>
          <w:rFonts w:ascii="Arial" w:hAnsi="Arial" w:cs="Arial"/>
          <w:sz w:val="22"/>
          <w:szCs w:val="22"/>
        </w:rPr>
        <w:t xml:space="preserve">písemným souhlasem poskytovatele. Příjemce musí zabezpečit, že </w:t>
      </w:r>
      <w:r w:rsidR="000815F2" w:rsidRPr="00B1460D">
        <w:rPr>
          <w:rFonts w:ascii="Arial" w:hAnsi="Arial" w:cs="Arial"/>
          <w:sz w:val="22"/>
          <w:szCs w:val="22"/>
        </w:rPr>
        <w:t xml:space="preserve">takto přenechaný </w:t>
      </w:r>
      <w:r w:rsidRPr="00B1460D">
        <w:rPr>
          <w:rFonts w:ascii="Arial" w:hAnsi="Arial" w:cs="Arial"/>
          <w:sz w:val="22"/>
          <w:szCs w:val="22"/>
        </w:rPr>
        <w:t xml:space="preserve">majetek pořízený z dotace nebude dále jeho </w:t>
      </w:r>
      <w:r w:rsidR="000815F2" w:rsidRPr="00B1460D">
        <w:rPr>
          <w:rFonts w:ascii="Arial" w:hAnsi="Arial" w:cs="Arial"/>
          <w:sz w:val="22"/>
          <w:szCs w:val="22"/>
        </w:rPr>
        <w:t>uživatelem</w:t>
      </w:r>
      <w:r w:rsidRPr="00B1460D">
        <w:rPr>
          <w:rFonts w:ascii="Arial" w:hAnsi="Arial" w:cs="Arial"/>
          <w:sz w:val="22"/>
          <w:szCs w:val="22"/>
        </w:rPr>
        <w:t xml:space="preserve"> přenechán k užívání třetí osobě. </w:t>
      </w:r>
      <w:r w:rsidRPr="00B1460D">
        <w:rPr>
          <w:rFonts w:ascii="Arial" w:hAnsi="Arial" w:cs="Arial"/>
          <w:bCs/>
          <w:iCs/>
          <w:sz w:val="22"/>
          <w:szCs w:val="22"/>
        </w:rPr>
        <w:t xml:space="preserve">Podmínka otevřeného výběrového řízení nemusí být naplněna, pokud subjekt veřejného sektoru (veřejný zadavatel) zřídil společnost za účelem poskytování služby, při které je majetek z projektu využíván a je jejím 100% vlastníkem a zároveň </w:t>
      </w:r>
      <w:r w:rsidRPr="00B1460D">
        <w:rPr>
          <w:rFonts w:ascii="Arial" w:hAnsi="Arial" w:cs="Arial"/>
          <w:iCs/>
          <w:sz w:val="22"/>
          <w:szCs w:val="22"/>
        </w:rPr>
        <w:t>současně:</w:t>
      </w:r>
    </w:p>
    <w:p w:rsidR="008F3030" w:rsidRPr="00B1460D" w:rsidRDefault="008F3030" w:rsidP="008F3030">
      <w:pPr>
        <w:numPr>
          <w:ilvl w:val="1"/>
          <w:numId w:val="24"/>
        </w:numPr>
        <w:spacing w:line="360" w:lineRule="auto"/>
        <w:jc w:val="both"/>
        <w:rPr>
          <w:rFonts w:ascii="Arial" w:hAnsi="Arial" w:cs="Arial"/>
          <w:iCs/>
          <w:sz w:val="22"/>
          <w:szCs w:val="22"/>
        </w:rPr>
      </w:pPr>
      <w:r w:rsidRPr="00B1460D">
        <w:rPr>
          <w:rFonts w:ascii="Arial" w:hAnsi="Arial" w:cs="Arial"/>
          <w:iCs/>
          <w:sz w:val="22"/>
          <w:szCs w:val="22"/>
        </w:rPr>
        <w:t>ovládá její řízení a kontrolu stejně jako v případě své organizační složky,</w:t>
      </w:r>
    </w:p>
    <w:p w:rsidR="008F3030" w:rsidRPr="00B1460D" w:rsidRDefault="008F3030" w:rsidP="008F3030">
      <w:pPr>
        <w:numPr>
          <w:ilvl w:val="1"/>
          <w:numId w:val="24"/>
        </w:numPr>
        <w:spacing w:line="360" w:lineRule="auto"/>
        <w:jc w:val="both"/>
        <w:rPr>
          <w:rFonts w:ascii="Arial" w:hAnsi="Arial" w:cs="Arial"/>
          <w:iCs/>
          <w:sz w:val="22"/>
          <w:szCs w:val="22"/>
        </w:rPr>
      </w:pPr>
      <w:r w:rsidRPr="00B1460D">
        <w:rPr>
          <w:rFonts w:ascii="Arial" w:hAnsi="Arial" w:cs="Arial"/>
          <w:iCs/>
          <w:sz w:val="22"/>
          <w:szCs w:val="22"/>
        </w:rPr>
        <w:t>daná firma působí převážně na lokálním trhu v jurisdikci zadavatele,</w:t>
      </w:r>
    </w:p>
    <w:p w:rsidR="008F3030" w:rsidRPr="00B1460D" w:rsidRDefault="008F3030" w:rsidP="008F3030">
      <w:pPr>
        <w:numPr>
          <w:ilvl w:val="1"/>
          <w:numId w:val="24"/>
        </w:numPr>
        <w:spacing w:line="360" w:lineRule="auto"/>
        <w:jc w:val="both"/>
        <w:rPr>
          <w:rFonts w:ascii="Arial" w:hAnsi="Arial" w:cs="Arial"/>
          <w:iCs/>
          <w:sz w:val="22"/>
          <w:szCs w:val="22"/>
        </w:rPr>
      </w:pPr>
      <w:r w:rsidRPr="00B1460D">
        <w:rPr>
          <w:rFonts w:ascii="Arial" w:hAnsi="Arial" w:cs="Arial"/>
          <w:iCs/>
          <w:sz w:val="22"/>
          <w:szCs w:val="22"/>
        </w:rPr>
        <w:t>z její činnosti nesmí mít prospěch žádný soukromý subjekt.</w:t>
      </w:r>
    </w:p>
    <w:p w:rsidR="008F3030" w:rsidRPr="00B1460D" w:rsidRDefault="008F3030" w:rsidP="008F3030">
      <w:pPr>
        <w:spacing w:line="360" w:lineRule="auto"/>
        <w:ind w:left="1440"/>
        <w:jc w:val="both"/>
        <w:rPr>
          <w:rFonts w:ascii="Arial" w:hAnsi="Arial" w:cs="Arial"/>
          <w:iCs/>
          <w:sz w:val="22"/>
          <w:szCs w:val="22"/>
        </w:rPr>
      </w:pPr>
    </w:p>
    <w:p w:rsidR="008F3030" w:rsidRPr="00B1460D" w:rsidRDefault="008F3030" w:rsidP="002A6B63">
      <w:pPr>
        <w:numPr>
          <w:ilvl w:val="0"/>
          <w:numId w:val="24"/>
        </w:numPr>
        <w:tabs>
          <w:tab w:val="clear" w:pos="720"/>
          <w:tab w:val="num" w:pos="426"/>
        </w:tabs>
        <w:spacing w:line="360" w:lineRule="auto"/>
        <w:ind w:left="426"/>
        <w:jc w:val="both"/>
        <w:rPr>
          <w:rFonts w:ascii="Arial" w:hAnsi="Arial" w:cs="Arial"/>
          <w:sz w:val="22"/>
          <w:szCs w:val="22"/>
        </w:rPr>
      </w:pPr>
      <w:r w:rsidRPr="00B1460D">
        <w:rPr>
          <w:rFonts w:ascii="Arial" w:hAnsi="Arial" w:cs="Arial"/>
          <w:sz w:val="22"/>
          <w:szCs w:val="22"/>
        </w:rPr>
        <w:t>Příjemce se zavazuje pojistit pojistitelný majetek pořizovaný z dotace proti jeho poškození, zničení a ztrátě. Pojistnou smlouvu příjemce předkládá poskytovateli v nejbližší etapové zprávě se žádostí o platbu, nejpozději však při závěrečné zprávě se žádostí o platbu. Příjemce je povinen pojistit majetek na celou dobu udržitelnosti projektu. Jakékoliv změny týkající se pojistné smlouvy je příjemce povinen neprodleně předložit poskytovateli. Hlášení o pojistné události je příjemce povinen neprodleně předložit poskytovateli.</w:t>
      </w:r>
    </w:p>
    <w:p w:rsidR="0041274C" w:rsidRPr="00B1460D" w:rsidRDefault="00E2045C" w:rsidP="002A6B63">
      <w:pPr>
        <w:spacing w:line="360" w:lineRule="auto"/>
        <w:ind w:left="426"/>
        <w:jc w:val="both"/>
        <w:rPr>
          <w:rFonts w:ascii="Arial" w:hAnsi="Arial" w:cs="Arial"/>
          <w:sz w:val="22"/>
          <w:szCs w:val="22"/>
        </w:rPr>
      </w:pPr>
      <w:r w:rsidRPr="00B1460D">
        <w:rPr>
          <w:rFonts w:ascii="Arial" w:hAnsi="Arial" w:cs="Arial"/>
          <w:sz w:val="22"/>
          <w:szCs w:val="22"/>
        </w:rPr>
        <w:t>P</w:t>
      </w:r>
      <w:r w:rsidR="0041274C" w:rsidRPr="00B1460D">
        <w:rPr>
          <w:rFonts w:ascii="Arial" w:hAnsi="Arial" w:cs="Arial"/>
          <w:sz w:val="22"/>
          <w:szCs w:val="22"/>
        </w:rPr>
        <w:t xml:space="preserve">ovinnost </w:t>
      </w:r>
      <w:r w:rsidRPr="00B1460D">
        <w:rPr>
          <w:rFonts w:ascii="Arial" w:hAnsi="Arial" w:cs="Arial"/>
          <w:sz w:val="22"/>
          <w:szCs w:val="22"/>
        </w:rPr>
        <w:t xml:space="preserve">pojistit majetek </w:t>
      </w:r>
      <w:r w:rsidR="0041274C" w:rsidRPr="00B1460D">
        <w:rPr>
          <w:rFonts w:ascii="Arial" w:hAnsi="Arial" w:cs="Arial"/>
          <w:sz w:val="22"/>
          <w:szCs w:val="22"/>
        </w:rPr>
        <w:t xml:space="preserve">je pro účely této smlouvy považována za splněnou </w:t>
      </w:r>
      <w:r w:rsidRPr="00B1460D">
        <w:rPr>
          <w:rFonts w:ascii="Arial" w:hAnsi="Arial" w:cs="Arial"/>
          <w:sz w:val="22"/>
          <w:szCs w:val="22"/>
        </w:rPr>
        <w:t xml:space="preserve">také </w:t>
      </w:r>
      <w:r w:rsidR="0041274C" w:rsidRPr="00B1460D">
        <w:rPr>
          <w:rFonts w:ascii="Arial" w:hAnsi="Arial" w:cs="Arial"/>
          <w:sz w:val="22"/>
          <w:szCs w:val="22"/>
        </w:rPr>
        <w:t>vytvořením účelového finančního fondu, který svým účelem komerční pojištění nahrazuje. Fond musí zajišťovat plnění požadavků kladených na obdobné komerční pojištění, tedy např. musí obsahovat prioritizaci projektů financovaných z ROP JV a musí tak zajišťovat operativní a finančně i věcně dostatečné pojištění výstupů projektů příjemce podávaných do ROP JV dostatečným finančním objemem. Statut fondu musí obsahovat zejména tyto náležitostí:</w:t>
      </w:r>
    </w:p>
    <w:p w:rsidR="0041274C" w:rsidRPr="00B1460D" w:rsidRDefault="0041274C" w:rsidP="0041274C">
      <w:pPr>
        <w:spacing w:line="360" w:lineRule="auto"/>
        <w:ind w:left="720"/>
        <w:jc w:val="both"/>
        <w:rPr>
          <w:rFonts w:ascii="Arial" w:hAnsi="Arial" w:cs="Arial"/>
          <w:sz w:val="22"/>
          <w:szCs w:val="22"/>
        </w:rPr>
      </w:pPr>
      <w:r w:rsidRPr="00B1460D">
        <w:rPr>
          <w:rFonts w:ascii="Arial" w:hAnsi="Arial" w:cs="Arial"/>
          <w:sz w:val="22"/>
          <w:szCs w:val="22"/>
        </w:rPr>
        <w:t>•</w:t>
      </w:r>
      <w:r w:rsidRPr="00B1460D">
        <w:rPr>
          <w:rFonts w:ascii="Arial" w:hAnsi="Arial" w:cs="Arial"/>
          <w:sz w:val="22"/>
          <w:szCs w:val="22"/>
        </w:rPr>
        <w:tab/>
        <w:t>zdroje fondu, stanovení minimální hranice finančních prostředků v něm obsažených a postup pro doplnění finančních prostředků v případě jejich poklesu pod minimální hranici,</w:t>
      </w:r>
    </w:p>
    <w:p w:rsidR="0041274C" w:rsidRPr="00B1460D" w:rsidRDefault="0041274C" w:rsidP="0041274C">
      <w:pPr>
        <w:spacing w:line="360" w:lineRule="auto"/>
        <w:ind w:left="720"/>
        <w:jc w:val="both"/>
        <w:rPr>
          <w:rFonts w:ascii="Arial" w:hAnsi="Arial" w:cs="Arial"/>
          <w:sz w:val="22"/>
          <w:szCs w:val="22"/>
        </w:rPr>
      </w:pPr>
      <w:r w:rsidRPr="00B1460D">
        <w:rPr>
          <w:rFonts w:ascii="Arial" w:hAnsi="Arial" w:cs="Arial"/>
          <w:sz w:val="22"/>
          <w:szCs w:val="22"/>
        </w:rPr>
        <w:t>•</w:t>
      </w:r>
      <w:r w:rsidRPr="00B1460D">
        <w:rPr>
          <w:rFonts w:ascii="Arial" w:hAnsi="Arial" w:cs="Arial"/>
          <w:sz w:val="22"/>
          <w:szCs w:val="22"/>
        </w:rPr>
        <w:tab/>
        <w:t>možnosti použití fondu, tzn. definice škod, které budou fondem kryty,</w:t>
      </w:r>
    </w:p>
    <w:p w:rsidR="0041274C" w:rsidRPr="00B1460D" w:rsidRDefault="0041274C" w:rsidP="0041274C">
      <w:pPr>
        <w:spacing w:line="360" w:lineRule="auto"/>
        <w:ind w:left="720"/>
        <w:jc w:val="both"/>
        <w:rPr>
          <w:rFonts w:ascii="Arial" w:hAnsi="Arial" w:cs="Arial"/>
          <w:sz w:val="22"/>
          <w:szCs w:val="22"/>
        </w:rPr>
      </w:pPr>
      <w:r w:rsidRPr="00B1460D">
        <w:rPr>
          <w:rFonts w:ascii="Arial" w:hAnsi="Arial" w:cs="Arial"/>
          <w:sz w:val="22"/>
          <w:szCs w:val="22"/>
        </w:rPr>
        <w:t>•</w:t>
      </w:r>
      <w:r w:rsidRPr="00B1460D">
        <w:rPr>
          <w:rFonts w:ascii="Arial" w:hAnsi="Arial" w:cs="Arial"/>
          <w:sz w:val="22"/>
          <w:szCs w:val="22"/>
        </w:rPr>
        <w:tab/>
        <w:t>informace o správci majetku a správci fondu,</w:t>
      </w:r>
    </w:p>
    <w:p w:rsidR="0041274C" w:rsidRPr="00B1460D" w:rsidRDefault="0041274C" w:rsidP="00612C0E">
      <w:pPr>
        <w:spacing w:line="360" w:lineRule="auto"/>
        <w:ind w:left="720"/>
        <w:jc w:val="both"/>
        <w:rPr>
          <w:rFonts w:ascii="Arial" w:hAnsi="Arial" w:cs="Arial"/>
          <w:sz w:val="22"/>
          <w:szCs w:val="22"/>
        </w:rPr>
      </w:pPr>
      <w:r w:rsidRPr="00B1460D">
        <w:rPr>
          <w:rFonts w:ascii="Arial" w:hAnsi="Arial" w:cs="Arial"/>
          <w:sz w:val="22"/>
          <w:szCs w:val="22"/>
        </w:rPr>
        <w:t>•</w:t>
      </w:r>
      <w:r w:rsidRPr="00B1460D">
        <w:rPr>
          <w:rFonts w:ascii="Arial" w:hAnsi="Arial" w:cs="Arial"/>
          <w:sz w:val="22"/>
          <w:szCs w:val="22"/>
        </w:rPr>
        <w:tab/>
        <w:t>informaci o odpovědné osobě ve věci řízení fondu.</w:t>
      </w:r>
    </w:p>
    <w:p w:rsidR="008F3030" w:rsidRPr="00B1460D" w:rsidRDefault="008F3030" w:rsidP="008F3030">
      <w:pPr>
        <w:spacing w:line="360" w:lineRule="auto"/>
        <w:ind w:left="360"/>
        <w:jc w:val="both"/>
        <w:rPr>
          <w:rFonts w:ascii="Arial" w:hAnsi="Arial" w:cs="Arial"/>
          <w:sz w:val="22"/>
          <w:szCs w:val="22"/>
        </w:rPr>
      </w:pPr>
    </w:p>
    <w:p w:rsidR="008F3030" w:rsidRPr="00B1460D" w:rsidRDefault="008F3030" w:rsidP="002A6B63">
      <w:pPr>
        <w:numPr>
          <w:ilvl w:val="0"/>
          <w:numId w:val="24"/>
        </w:numPr>
        <w:tabs>
          <w:tab w:val="clear" w:pos="720"/>
          <w:tab w:val="num" w:pos="426"/>
        </w:tabs>
        <w:spacing w:line="360" w:lineRule="auto"/>
        <w:ind w:left="426"/>
        <w:jc w:val="both"/>
        <w:rPr>
          <w:rFonts w:ascii="Arial" w:hAnsi="Arial" w:cs="Arial"/>
          <w:sz w:val="22"/>
          <w:szCs w:val="22"/>
        </w:rPr>
      </w:pPr>
      <w:r w:rsidRPr="00B1460D">
        <w:rPr>
          <w:rFonts w:ascii="Arial" w:hAnsi="Arial" w:cs="Arial"/>
          <w:sz w:val="22"/>
          <w:szCs w:val="22"/>
        </w:rPr>
        <w:t>Příjemce je povinen realizovat veškeré finanční operace související s projektem na zvláštním bankovním účtu nebo podúčtu se samostatným výpisem, určeným výlučně pro projekt, a to až do doby ukončení financování projektu. Výjimkou jsou platby, které uvedeným způsobem realizovat nelze. Výdaje za tyto platby budou způsobilé pouze do výše pět tisíc korun českých včetně DPH pro každou jednotlivou platbu</w:t>
      </w:r>
      <w:r w:rsidR="00355387" w:rsidRPr="00B1460D">
        <w:rPr>
          <w:rFonts w:ascii="Arial" w:hAnsi="Arial" w:cs="Arial"/>
          <w:sz w:val="22"/>
          <w:szCs w:val="22"/>
        </w:rPr>
        <w:t>.</w:t>
      </w:r>
    </w:p>
    <w:p w:rsidR="008F3030" w:rsidRPr="00B1460D" w:rsidRDefault="008F3030" w:rsidP="008F3030">
      <w:pPr>
        <w:spacing w:line="360" w:lineRule="auto"/>
        <w:jc w:val="both"/>
        <w:rPr>
          <w:rFonts w:ascii="Arial" w:hAnsi="Arial" w:cs="Arial"/>
          <w:sz w:val="22"/>
          <w:szCs w:val="22"/>
        </w:rPr>
      </w:pPr>
    </w:p>
    <w:p w:rsidR="008F3030" w:rsidRPr="00B1460D" w:rsidRDefault="008F3030" w:rsidP="002A6B63">
      <w:pPr>
        <w:pStyle w:val="slovanseznam"/>
        <w:numPr>
          <w:ilvl w:val="0"/>
          <w:numId w:val="24"/>
        </w:numPr>
        <w:tabs>
          <w:tab w:val="clear" w:pos="567"/>
          <w:tab w:val="clear" w:pos="720"/>
        </w:tabs>
        <w:spacing w:line="360" w:lineRule="auto"/>
        <w:ind w:left="426"/>
        <w:rPr>
          <w:sz w:val="22"/>
          <w:szCs w:val="22"/>
        </w:rPr>
      </w:pPr>
      <w:r w:rsidRPr="00B1460D">
        <w:rPr>
          <w:sz w:val="22"/>
          <w:szCs w:val="22"/>
        </w:rPr>
        <w:t>Příjemce je povinen dodržovat opatření k publicitě projektu v souladu s popisem uvedeným v Pravidlech pro publicitu a Příručce pro žadatele a příjemce ROP NUTS 2 Jihovýchod. Ke splnění této povinnosti uděluje poskytovatel příjemci souhlas k uvádění loga ROP JV, tzn. bezplatnou licenci k užití v souvislosti s realizací projektu, a to po celou dobu realizace a udržitelnosti projektu. Při užívání loga podle tohoto odstavce je příjemce povinen postupovat v souladu s</w:t>
      </w:r>
      <w:r w:rsidR="009E0898" w:rsidRPr="00B1460D">
        <w:rPr>
          <w:sz w:val="22"/>
          <w:szCs w:val="22"/>
        </w:rPr>
        <w:t xml:space="preserve"> Pravidly pro publicitu platnými k dané výzvě. </w:t>
      </w:r>
      <w:r w:rsidRPr="00B1460D">
        <w:rPr>
          <w:sz w:val="22"/>
          <w:szCs w:val="22"/>
        </w:rPr>
        <w:t xml:space="preserve"> </w:t>
      </w:r>
    </w:p>
    <w:p w:rsidR="008F3030" w:rsidRPr="00B1460D" w:rsidRDefault="008F3030" w:rsidP="008F3030">
      <w:pPr>
        <w:spacing w:line="360" w:lineRule="auto"/>
        <w:ind w:left="360"/>
        <w:jc w:val="both"/>
        <w:rPr>
          <w:rFonts w:ascii="Arial" w:hAnsi="Arial" w:cs="Arial"/>
          <w:sz w:val="22"/>
          <w:szCs w:val="22"/>
        </w:rPr>
      </w:pPr>
    </w:p>
    <w:p w:rsidR="008F3030" w:rsidRPr="00B1460D" w:rsidRDefault="008F3030" w:rsidP="00355387">
      <w:pPr>
        <w:numPr>
          <w:ilvl w:val="0"/>
          <w:numId w:val="24"/>
        </w:numPr>
        <w:tabs>
          <w:tab w:val="clear" w:pos="720"/>
          <w:tab w:val="num" w:pos="426"/>
        </w:tabs>
        <w:spacing w:line="360" w:lineRule="auto"/>
        <w:ind w:left="426"/>
        <w:jc w:val="both"/>
        <w:rPr>
          <w:rFonts w:ascii="Arial" w:hAnsi="Arial" w:cs="Arial"/>
          <w:sz w:val="22"/>
          <w:szCs w:val="22"/>
        </w:rPr>
      </w:pPr>
      <w:r w:rsidRPr="00B1460D" w:rsidDel="00984638">
        <w:rPr>
          <w:rFonts w:ascii="Arial" w:hAnsi="Arial" w:cs="Arial"/>
          <w:sz w:val="22"/>
          <w:szCs w:val="22"/>
        </w:rPr>
        <w:t>Příjemce</w:t>
      </w:r>
      <w:r w:rsidRPr="00B1460D">
        <w:rPr>
          <w:rFonts w:ascii="Arial" w:hAnsi="Arial" w:cs="Arial"/>
          <w:sz w:val="22"/>
          <w:szCs w:val="22"/>
        </w:rPr>
        <w:t xml:space="preserve"> nesmí na úhradu způsobilých výdajů projektu čerpat prostředky z jiných finančních nástrojů ES, národních programů či programů územních samospráv. Příjemce může přijmout účelovou dotaci od územních samosprávných celků či státu nad rámec spolufinancování určený v ROP JV, pokud jeho projekt nezakládá veřejnou podporu a pouze s písemným souhlasem poskytovatele.</w:t>
      </w:r>
    </w:p>
    <w:p w:rsidR="008F3030" w:rsidRPr="00B1460D" w:rsidRDefault="008F3030" w:rsidP="008F3030">
      <w:pPr>
        <w:spacing w:line="360" w:lineRule="auto"/>
        <w:ind w:left="720"/>
        <w:jc w:val="both"/>
        <w:rPr>
          <w:rFonts w:ascii="Arial" w:hAnsi="Arial" w:cs="Arial"/>
          <w:sz w:val="22"/>
          <w:szCs w:val="22"/>
        </w:rPr>
      </w:pPr>
    </w:p>
    <w:bookmarkEnd w:id="4"/>
    <w:bookmarkEnd w:id="5"/>
    <w:p w:rsidR="008F3030" w:rsidRPr="00B1460D" w:rsidRDefault="00A7770B" w:rsidP="008F3030">
      <w:pPr>
        <w:spacing w:line="360" w:lineRule="auto"/>
        <w:ind w:left="12"/>
        <w:jc w:val="center"/>
        <w:rPr>
          <w:rFonts w:ascii="Arial" w:hAnsi="Arial" w:cs="Arial"/>
          <w:b/>
          <w:sz w:val="22"/>
          <w:szCs w:val="22"/>
        </w:rPr>
      </w:pPr>
      <w:r w:rsidRPr="00B1460D">
        <w:rPr>
          <w:rFonts w:ascii="Arial" w:hAnsi="Arial" w:cs="Arial"/>
          <w:b/>
          <w:sz w:val="22"/>
          <w:szCs w:val="22"/>
        </w:rPr>
        <w:br w:type="page"/>
      </w:r>
      <w:r w:rsidR="008F3030" w:rsidRPr="00B1460D">
        <w:rPr>
          <w:rFonts w:ascii="Arial" w:hAnsi="Arial" w:cs="Arial"/>
          <w:b/>
          <w:sz w:val="22"/>
          <w:szCs w:val="22"/>
        </w:rPr>
        <w:t>VI.</w:t>
      </w:r>
    </w:p>
    <w:p w:rsidR="008F3030" w:rsidRPr="00B1460D" w:rsidRDefault="008F3030" w:rsidP="008F3030">
      <w:pPr>
        <w:spacing w:line="360" w:lineRule="auto"/>
        <w:ind w:left="12"/>
        <w:jc w:val="center"/>
        <w:rPr>
          <w:rFonts w:ascii="Arial" w:hAnsi="Arial" w:cs="Arial"/>
          <w:b/>
          <w:sz w:val="22"/>
          <w:szCs w:val="22"/>
        </w:rPr>
      </w:pPr>
      <w:r w:rsidRPr="00B1460D">
        <w:rPr>
          <w:rFonts w:ascii="Arial" w:hAnsi="Arial" w:cs="Arial"/>
          <w:b/>
          <w:sz w:val="22"/>
          <w:szCs w:val="22"/>
        </w:rPr>
        <w:t>Čestná prohlášení příjemce</w:t>
      </w:r>
    </w:p>
    <w:p w:rsidR="008F3030" w:rsidRPr="00B1460D" w:rsidRDefault="008F3030" w:rsidP="00355387">
      <w:pPr>
        <w:numPr>
          <w:ilvl w:val="0"/>
          <w:numId w:val="21"/>
        </w:numPr>
        <w:tabs>
          <w:tab w:val="clear" w:pos="720"/>
          <w:tab w:val="num" w:pos="426"/>
        </w:tabs>
        <w:spacing w:line="360" w:lineRule="auto"/>
        <w:ind w:left="426"/>
        <w:jc w:val="both"/>
        <w:rPr>
          <w:rFonts w:ascii="Arial" w:hAnsi="Arial" w:cs="Arial"/>
          <w:sz w:val="22"/>
          <w:szCs w:val="22"/>
        </w:rPr>
      </w:pPr>
      <w:r w:rsidRPr="00B1460D">
        <w:rPr>
          <w:rFonts w:ascii="Arial" w:hAnsi="Arial" w:cs="Arial"/>
          <w:sz w:val="22"/>
          <w:szCs w:val="22"/>
        </w:rPr>
        <w:t>Příjemce prohlašuje, že při provádění projektu bude postupovat v souladu s </w:t>
      </w:r>
      <w:r w:rsidR="00127F8F" w:rsidRPr="00B1460D">
        <w:rPr>
          <w:rFonts w:ascii="Arial" w:hAnsi="Arial" w:cs="Arial"/>
          <w:sz w:val="22"/>
          <w:szCs w:val="22"/>
        </w:rPr>
        <w:t xml:space="preserve">právními předpisy, přímo použitelnými předpisy Evropské unie, smlouvou, a že </w:t>
      </w:r>
      <w:r w:rsidRPr="00B1460D">
        <w:rPr>
          <w:rFonts w:ascii="Arial" w:hAnsi="Arial" w:cs="Arial"/>
          <w:sz w:val="22"/>
          <w:szCs w:val="22"/>
        </w:rPr>
        <w:t>zejména dodrží pravidla pro poskytování veřejné podpory a </w:t>
      </w:r>
      <w:r w:rsidR="00127F8F" w:rsidRPr="00B1460D">
        <w:rPr>
          <w:rFonts w:ascii="Arial" w:hAnsi="Arial" w:cs="Arial"/>
          <w:sz w:val="22"/>
          <w:szCs w:val="22"/>
        </w:rPr>
        <w:t>postupy</w:t>
      </w:r>
      <w:r w:rsidRPr="00B1460D">
        <w:rPr>
          <w:rFonts w:ascii="Arial" w:hAnsi="Arial" w:cs="Arial"/>
          <w:sz w:val="22"/>
          <w:szCs w:val="22"/>
        </w:rPr>
        <w:t xml:space="preserve"> v oblasti veřejných zakázek. Dále příjemce prohlašuje, že na projekt nečerpá jiné veřejné prostředky (mimo těch, které tvoří strukturu spolufinancování ROP JV) a ani žádné takovéto prostředky nepřijme bez </w:t>
      </w:r>
      <w:r w:rsidR="00D51624" w:rsidRPr="00B1460D">
        <w:rPr>
          <w:rFonts w:ascii="Arial" w:hAnsi="Arial" w:cs="Arial"/>
          <w:sz w:val="22"/>
          <w:szCs w:val="22"/>
        </w:rPr>
        <w:t xml:space="preserve">předchozího </w:t>
      </w:r>
      <w:r w:rsidRPr="00B1460D">
        <w:rPr>
          <w:rFonts w:ascii="Arial" w:hAnsi="Arial" w:cs="Arial"/>
          <w:sz w:val="22"/>
          <w:szCs w:val="22"/>
        </w:rPr>
        <w:t>písemného souhlasu poskytovatele.</w:t>
      </w:r>
    </w:p>
    <w:p w:rsidR="008F3030" w:rsidRPr="00B1460D" w:rsidRDefault="008F3030" w:rsidP="008F3030">
      <w:pPr>
        <w:spacing w:line="360" w:lineRule="auto"/>
        <w:ind w:left="360"/>
        <w:jc w:val="both"/>
        <w:rPr>
          <w:rFonts w:ascii="Arial" w:hAnsi="Arial" w:cs="Arial"/>
          <w:sz w:val="22"/>
          <w:szCs w:val="22"/>
        </w:rPr>
      </w:pPr>
    </w:p>
    <w:p w:rsidR="008F3030" w:rsidRPr="00B1460D" w:rsidRDefault="008F3030" w:rsidP="00612C0E">
      <w:pPr>
        <w:numPr>
          <w:ilvl w:val="0"/>
          <w:numId w:val="21"/>
        </w:numPr>
        <w:tabs>
          <w:tab w:val="clear" w:pos="720"/>
          <w:tab w:val="num" w:pos="426"/>
        </w:tabs>
        <w:spacing w:line="360" w:lineRule="auto"/>
        <w:ind w:left="426"/>
        <w:jc w:val="both"/>
        <w:rPr>
          <w:rFonts w:ascii="Arial" w:hAnsi="Arial" w:cs="Arial"/>
          <w:sz w:val="22"/>
          <w:szCs w:val="22"/>
        </w:rPr>
      </w:pPr>
      <w:r w:rsidRPr="00B1460D">
        <w:rPr>
          <w:rFonts w:ascii="Arial" w:hAnsi="Arial" w:cs="Arial"/>
          <w:sz w:val="22"/>
          <w:szCs w:val="22"/>
        </w:rPr>
        <w:t xml:space="preserve">Příjemce prohlašuje, že se nenachází v úpadku či likvidaci, a pokud se tak stane, sdělí tuto informaci poskytovateli. Příjemce prohlašuje, že nemá v rejstříku trestů záznam o pravomocném odsouzení pro trestný čin, jehož skutková podstata souvisí s jeho předmětem podnikání, paděláním či pozměňováním veřejné listiny nebo úplatkářstvím, nebo pro trestný čin proti </w:t>
      </w:r>
      <w:r w:rsidR="00674FE8" w:rsidRPr="00B1460D">
        <w:rPr>
          <w:rFonts w:ascii="Arial" w:hAnsi="Arial" w:cs="Arial"/>
          <w:sz w:val="22"/>
          <w:szCs w:val="22"/>
        </w:rPr>
        <w:t>majetku</w:t>
      </w:r>
      <w:r w:rsidRPr="00B1460D">
        <w:rPr>
          <w:rFonts w:ascii="Arial" w:hAnsi="Arial" w:cs="Arial"/>
          <w:sz w:val="22"/>
          <w:szCs w:val="22"/>
        </w:rPr>
        <w:t xml:space="preserve"> anebo trestný čin hospodářský podle hlavy páté a šesté části druhé zákona č. 40/2009 Sb., trestní zákon, ve znění pozdějších předpisů, </w:t>
      </w:r>
      <w:r w:rsidR="00127F8F" w:rsidRPr="00B1460D">
        <w:rPr>
          <w:rFonts w:ascii="Arial" w:hAnsi="Arial" w:cs="Arial"/>
          <w:sz w:val="22"/>
          <w:szCs w:val="22"/>
        </w:rPr>
        <w:t xml:space="preserve">anebo trestný čin podle zákona č. 418/2011 o trestní odpovědnosti právnických osob a řízení proti nim, ve znění pozdějších předpisů, </w:t>
      </w:r>
      <w:r w:rsidRPr="00B1460D">
        <w:rPr>
          <w:rFonts w:ascii="Arial" w:hAnsi="Arial" w:cs="Arial"/>
          <w:sz w:val="22"/>
          <w:szCs w:val="22"/>
        </w:rPr>
        <w:t xml:space="preserve">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také všech osob, které jsou jejím statutárním orgánem nebo obdržely plnou moc za účelem zastupování právnické osoby pro účely uzavření a realizace této smlouvy. V případě, že je příjemce fyzická osoba, prohlašuje, že mu nebyl soudem nebo správním orgánem ke dni </w:t>
      </w:r>
      <w:r w:rsidR="00CA5011" w:rsidRPr="00B1460D">
        <w:rPr>
          <w:rFonts w:ascii="Arial" w:hAnsi="Arial" w:cs="Arial"/>
          <w:sz w:val="22"/>
          <w:szCs w:val="22"/>
        </w:rPr>
        <w:t xml:space="preserve">uzavření </w:t>
      </w:r>
      <w:r w:rsidRPr="00B1460D">
        <w:rPr>
          <w:rFonts w:ascii="Arial" w:hAnsi="Arial" w:cs="Arial"/>
          <w:sz w:val="22"/>
          <w:szCs w:val="22"/>
        </w:rPr>
        <w:t xml:space="preserve">této smlouvy, pravomocně uložen zákaz činnosti týkající se projektu. V případě, že je příjemce právnická osoba, prohlašuje, že jí nebyl soudem ke dni </w:t>
      </w:r>
      <w:r w:rsidR="00CA5011" w:rsidRPr="00B1460D">
        <w:rPr>
          <w:rFonts w:ascii="Arial" w:hAnsi="Arial" w:cs="Arial"/>
          <w:sz w:val="22"/>
          <w:szCs w:val="22"/>
        </w:rPr>
        <w:t xml:space="preserve">uzavření </w:t>
      </w:r>
      <w:r w:rsidRPr="00B1460D">
        <w:rPr>
          <w:rFonts w:ascii="Arial" w:hAnsi="Arial" w:cs="Arial"/>
          <w:sz w:val="22"/>
          <w:szCs w:val="22"/>
        </w:rPr>
        <w:t>této smlouvy, pravomocně uložen trest zrušení právnické osoby, propadnutí majetku, propadnutí věci nebo jiné majetkové hodnoty související s projektem, zákaz činnosti týkající se projektu nebo zákaz přijímání dotací a subvencí či uloženo ochranné opatření zabrání věci či jiné majetkové hodnoty vztahující se k projektu.</w:t>
      </w:r>
    </w:p>
    <w:p w:rsidR="008F3030" w:rsidRPr="00B1460D" w:rsidRDefault="008F3030" w:rsidP="008F3030">
      <w:pPr>
        <w:pStyle w:val="Odstavecseseznamem"/>
        <w:rPr>
          <w:rFonts w:ascii="Arial" w:hAnsi="Arial" w:cs="Arial"/>
          <w:sz w:val="22"/>
          <w:szCs w:val="22"/>
        </w:rPr>
      </w:pPr>
    </w:p>
    <w:p w:rsidR="008F3030" w:rsidRPr="00B1460D" w:rsidRDefault="008F3030" w:rsidP="008F3030">
      <w:pPr>
        <w:numPr>
          <w:ilvl w:val="0"/>
          <w:numId w:val="21"/>
        </w:numPr>
        <w:tabs>
          <w:tab w:val="clear" w:pos="720"/>
          <w:tab w:val="num" w:pos="-12"/>
        </w:tabs>
        <w:spacing w:line="360" w:lineRule="auto"/>
        <w:ind w:left="360"/>
        <w:jc w:val="both"/>
        <w:rPr>
          <w:rFonts w:ascii="Arial" w:hAnsi="Arial" w:cs="Arial"/>
          <w:sz w:val="22"/>
          <w:szCs w:val="22"/>
        </w:rPr>
      </w:pPr>
      <w:r w:rsidRPr="00B1460D">
        <w:rPr>
          <w:rFonts w:ascii="Arial" w:hAnsi="Arial" w:cs="Arial"/>
          <w:sz w:val="22"/>
          <w:szCs w:val="22"/>
        </w:rPr>
        <w:t>Příjemce prohlašuje, že nemá žádné závazky vůči orgánům veřejné správy po lhůtě splatnosti (zejména se jedná o daňové nedoplatky a penále, nedoplatky na pojistném a na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ES či Evropského rybářského fondu vůči orgánům, které prostředky z těchto fondů poskytují. Posečkání s úhradou závazků nebo dohoda o úhradě závazků a její řádné plnění se považují za vypořádané závazky).</w:t>
      </w: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numPr>
          <w:ilvl w:val="0"/>
          <w:numId w:val="21"/>
        </w:numPr>
        <w:tabs>
          <w:tab w:val="clear" w:pos="720"/>
          <w:tab w:val="num" w:pos="-12"/>
        </w:tabs>
        <w:spacing w:line="360" w:lineRule="auto"/>
        <w:ind w:left="360"/>
        <w:jc w:val="both"/>
        <w:rPr>
          <w:rFonts w:ascii="Arial" w:hAnsi="Arial" w:cs="Arial"/>
          <w:sz w:val="22"/>
          <w:szCs w:val="22"/>
        </w:rPr>
      </w:pPr>
      <w:r w:rsidRPr="00B1460D">
        <w:rPr>
          <w:rFonts w:ascii="Arial" w:hAnsi="Arial" w:cs="Arial"/>
          <w:sz w:val="22"/>
          <w:szCs w:val="22"/>
        </w:rPr>
        <w:t xml:space="preserve">Příjemce prohlašuje, že má zajištěny zdroje pro financování alespoň prvních dvou časových etap projektu, a tyto zdroje dosahují pro jednu časovou etapu nejméně 10% z celkových předpokládaných způsobilých výdajů. </w:t>
      </w: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numPr>
          <w:ilvl w:val="0"/>
          <w:numId w:val="21"/>
        </w:numPr>
        <w:tabs>
          <w:tab w:val="clear" w:pos="720"/>
          <w:tab w:val="num" w:pos="-12"/>
        </w:tabs>
        <w:spacing w:line="360" w:lineRule="auto"/>
        <w:ind w:left="360"/>
        <w:jc w:val="both"/>
        <w:rPr>
          <w:rFonts w:ascii="Arial" w:hAnsi="Arial" w:cs="Arial"/>
          <w:sz w:val="22"/>
          <w:szCs w:val="22"/>
        </w:rPr>
      </w:pPr>
      <w:r w:rsidRPr="00B1460D">
        <w:rPr>
          <w:rFonts w:ascii="Arial" w:hAnsi="Arial" w:cs="Arial"/>
          <w:snapToGrid w:val="0"/>
          <w:sz w:val="22"/>
          <w:szCs w:val="22"/>
        </w:rPr>
        <w:t>Příjemce prohlašuje, že všechny údaje, které uvedl v této smlouvě jsou pravdivé a úplné. Příjemce souhlasí s užíváním údajů týkajících se projektu v informačních systémech určených pro účely administrace strukturálních fondů.</w:t>
      </w:r>
    </w:p>
    <w:p w:rsidR="008F3030" w:rsidRPr="00B1460D" w:rsidRDefault="008F3030" w:rsidP="008F3030">
      <w:pPr>
        <w:spacing w:line="360" w:lineRule="auto"/>
        <w:ind w:left="12"/>
        <w:jc w:val="both"/>
        <w:rPr>
          <w:rFonts w:ascii="Arial" w:hAnsi="Arial" w:cs="Arial"/>
          <w:sz w:val="22"/>
          <w:szCs w:val="22"/>
        </w:rPr>
      </w:pPr>
    </w:p>
    <w:p w:rsidR="008F3030" w:rsidRPr="00B1460D" w:rsidRDefault="008F3030" w:rsidP="008F3030">
      <w:pPr>
        <w:spacing w:line="360" w:lineRule="auto"/>
        <w:ind w:left="12"/>
        <w:jc w:val="center"/>
        <w:rPr>
          <w:rFonts w:ascii="Arial" w:hAnsi="Arial" w:cs="Arial"/>
          <w:b/>
          <w:sz w:val="22"/>
          <w:szCs w:val="22"/>
        </w:rPr>
      </w:pPr>
      <w:r w:rsidRPr="00B1460D">
        <w:rPr>
          <w:rFonts w:ascii="Arial" w:hAnsi="Arial" w:cs="Arial"/>
          <w:b/>
          <w:sz w:val="22"/>
          <w:szCs w:val="22"/>
        </w:rPr>
        <w:t>VII.</w:t>
      </w:r>
    </w:p>
    <w:p w:rsidR="008F3030" w:rsidRPr="00B1460D" w:rsidRDefault="008F3030" w:rsidP="008F3030">
      <w:pPr>
        <w:spacing w:line="360" w:lineRule="auto"/>
        <w:ind w:left="12"/>
        <w:jc w:val="center"/>
        <w:rPr>
          <w:rFonts w:ascii="Arial" w:hAnsi="Arial" w:cs="Arial"/>
          <w:b/>
          <w:sz w:val="22"/>
          <w:szCs w:val="22"/>
        </w:rPr>
      </w:pPr>
      <w:r w:rsidRPr="00B1460D">
        <w:rPr>
          <w:rFonts w:ascii="Arial" w:hAnsi="Arial" w:cs="Arial"/>
          <w:b/>
          <w:sz w:val="22"/>
          <w:szCs w:val="22"/>
        </w:rPr>
        <w:t>Porušení smluvních podmínek, nesrovnalosti a sankce</w:t>
      </w:r>
    </w:p>
    <w:p w:rsidR="008F3030" w:rsidRPr="00B1460D" w:rsidRDefault="008F3030" w:rsidP="008F3030">
      <w:pPr>
        <w:widowControl w:val="0"/>
        <w:numPr>
          <w:ilvl w:val="0"/>
          <w:numId w:val="22"/>
        </w:numPr>
        <w:spacing w:line="360" w:lineRule="auto"/>
        <w:ind w:left="372"/>
        <w:jc w:val="both"/>
        <w:rPr>
          <w:rFonts w:ascii="Arial" w:hAnsi="Arial" w:cs="Arial"/>
          <w:snapToGrid w:val="0"/>
          <w:sz w:val="22"/>
          <w:szCs w:val="22"/>
        </w:rPr>
      </w:pPr>
      <w:r w:rsidRPr="00B1460D">
        <w:rPr>
          <w:rFonts w:ascii="Arial" w:hAnsi="Arial" w:cs="Arial"/>
          <w:snapToGrid w:val="0"/>
          <w:sz w:val="22"/>
          <w:szCs w:val="22"/>
        </w:rPr>
        <w:t xml:space="preserve">Poskytovatel je oprávněn v souladu se zákonem č. 320/2001 Sb., o finanční kontrole, ve znění pozdějších předpisů, a zákonem č. </w:t>
      </w:r>
      <w:r w:rsidR="00A87F5C" w:rsidRPr="00B1460D">
        <w:rPr>
          <w:rFonts w:ascii="Arial" w:hAnsi="Arial" w:cs="Arial"/>
          <w:snapToGrid w:val="0"/>
          <w:sz w:val="22"/>
          <w:szCs w:val="22"/>
        </w:rPr>
        <w:t>255/2012 Sb., kontrolní řád</w:t>
      </w:r>
      <w:r w:rsidRPr="00B1460D">
        <w:rPr>
          <w:rFonts w:ascii="Arial" w:hAnsi="Arial" w:cs="Arial"/>
          <w:snapToGrid w:val="0"/>
          <w:sz w:val="22"/>
          <w:szCs w:val="22"/>
        </w:rPr>
        <w:t xml:space="preserve">, ve znění pozdějších předpisů, kontrolovat dodržení podmínek, za kterých byla dotace poskytnuta. </w:t>
      </w:r>
      <w:r w:rsidR="004B09C7" w:rsidRPr="00B1460D">
        <w:rPr>
          <w:rFonts w:ascii="Arial" w:hAnsi="Arial" w:cs="Arial"/>
          <w:snapToGrid w:val="0"/>
          <w:sz w:val="22"/>
          <w:szCs w:val="22"/>
        </w:rPr>
        <w:t xml:space="preserve">Dále příjemce tímto zmocňuje </w:t>
      </w:r>
      <w:r w:rsidR="00674FE8" w:rsidRPr="00B1460D">
        <w:rPr>
          <w:rFonts w:ascii="Arial" w:hAnsi="Arial" w:cs="Arial"/>
          <w:snapToGrid w:val="0"/>
          <w:sz w:val="22"/>
          <w:szCs w:val="22"/>
        </w:rPr>
        <w:t>poskytovatele</w:t>
      </w:r>
      <w:r w:rsidR="004B09C7" w:rsidRPr="00B1460D">
        <w:rPr>
          <w:rFonts w:ascii="Arial" w:hAnsi="Arial" w:cs="Arial"/>
          <w:snapToGrid w:val="0"/>
          <w:sz w:val="22"/>
          <w:szCs w:val="22"/>
        </w:rPr>
        <w:t xml:space="preserve"> dotace ke kontrole dodržování smluv i v jiných než zákonem či jinou právní normou stanovených případech, a to ve stejném rozsahu jako ve větě první.</w:t>
      </w:r>
    </w:p>
    <w:p w:rsidR="008F3030" w:rsidRPr="00B1460D" w:rsidRDefault="008F3030" w:rsidP="008F3030">
      <w:pPr>
        <w:spacing w:line="360" w:lineRule="auto"/>
        <w:ind w:left="12"/>
        <w:jc w:val="both"/>
        <w:rPr>
          <w:rFonts w:ascii="Arial" w:hAnsi="Arial" w:cs="Arial"/>
          <w:iCs/>
          <w:sz w:val="22"/>
          <w:szCs w:val="22"/>
        </w:rPr>
      </w:pPr>
    </w:p>
    <w:p w:rsidR="008F3030" w:rsidRPr="00B1460D" w:rsidRDefault="008F3030" w:rsidP="008F3030">
      <w:pPr>
        <w:numPr>
          <w:ilvl w:val="0"/>
          <w:numId w:val="22"/>
        </w:numPr>
        <w:tabs>
          <w:tab w:val="num" w:pos="-12"/>
          <w:tab w:val="num" w:pos="502"/>
        </w:tabs>
        <w:spacing w:line="360" w:lineRule="auto"/>
        <w:jc w:val="both"/>
        <w:rPr>
          <w:rFonts w:ascii="Arial" w:hAnsi="Arial" w:cs="Arial"/>
          <w:sz w:val="22"/>
          <w:szCs w:val="22"/>
        </w:rPr>
      </w:pPr>
      <w:r w:rsidRPr="00B1460D">
        <w:rPr>
          <w:rFonts w:ascii="Arial" w:hAnsi="Arial" w:cs="Arial"/>
          <w:sz w:val="22"/>
          <w:szCs w:val="22"/>
        </w:rPr>
        <w:t>Pokud poskytovatel zjistí, že příjemce nesplnil nebo neplní některou z podmínek vyplývajících z této Smlouvy</w:t>
      </w:r>
      <w:r w:rsidR="00FD1C44" w:rsidRPr="00B1460D">
        <w:rPr>
          <w:rFonts w:ascii="Arial" w:hAnsi="Arial" w:cs="Arial"/>
          <w:sz w:val="22"/>
          <w:szCs w:val="22"/>
        </w:rPr>
        <w:t xml:space="preserve"> (včetně </w:t>
      </w:r>
      <w:r w:rsidR="00674FE8" w:rsidRPr="00B1460D">
        <w:rPr>
          <w:rFonts w:ascii="Arial" w:hAnsi="Arial" w:cs="Arial"/>
          <w:sz w:val="22"/>
          <w:szCs w:val="22"/>
        </w:rPr>
        <w:t>souvisejících</w:t>
      </w:r>
      <w:r w:rsidR="00FD1C44" w:rsidRPr="00B1460D">
        <w:rPr>
          <w:rFonts w:ascii="Arial" w:hAnsi="Arial" w:cs="Arial"/>
          <w:sz w:val="22"/>
          <w:szCs w:val="22"/>
        </w:rPr>
        <w:t xml:space="preserve"> dokumentů)</w:t>
      </w:r>
      <w:r w:rsidRPr="00B1460D">
        <w:rPr>
          <w:rFonts w:ascii="Arial" w:hAnsi="Arial" w:cs="Arial"/>
          <w:sz w:val="22"/>
          <w:szCs w:val="22"/>
        </w:rPr>
        <w:t>,</w:t>
      </w:r>
      <w:r w:rsidR="00FD1C44" w:rsidRPr="00B1460D">
        <w:rPr>
          <w:rFonts w:ascii="Arial" w:hAnsi="Arial" w:cs="Arial"/>
          <w:sz w:val="22"/>
          <w:szCs w:val="22"/>
        </w:rPr>
        <w:t xml:space="preserve"> právního předpisu</w:t>
      </w:r>
      <w:r w:rsidR="009E2959" w:rsidRPr="00B1460D">
        <w:rPr>
          <w:rFonts w:ascii="Arial" w:hAnsi="Arial" w:cs="Arial"/>
          <w:sz w:val="22"/>
          <w:szCs w:val="22"/>
        </w:rPr>
        <w:t xml:space="preserve"> nebo </w:t>
      </w:r>
      <w:r w:rsidR="00FD1C44" w:rsidRPr="00B1460D">
        <w:rPr>
          <w:rFonts w:ascii="Arial" w:hAnsi="Arial" w:cs="Arial"/>
          <w:sz w:val="22"/>
          <w:szCs w:val="22"/>
        </w:rPr>
        <w:t>přímo použitelného předpisu EU</w:t>
      </w:r>
      <w:r w:rsidRPr="00B1460D">
        <w:rPr>
          <w:rFonts w:ascii="Arial" w:hAnsi="Arial" w:cs="Arial"/>
          <w:sz w:val="22"/>
          <w:szCs w:val="22"/>
        </w:rPr>
        <w:t xml:space="preserve"> je oprávněn zahájit potřebné kroky vedoucí ke zjištění, zda došlo k nesrovnalosti ve smyslu Nařízení Rady (ES) č. 1083/2006 a Nařízení Rady (ES)  č.  1828/2006 spočívající v  porušení rozpočtové kázně ve smyslu zákona č. 250/2000 Sb., o rozpočtových pravidlech územních rozpočtů, ve znění pozdějších předpisů (dále jen zákon o územních rozpočtech), či k porušení jiných podmínek pro poskytnutí dotace. </w:t>
      </w:r>
    </w:p>
    <w:p w:rsidR="008F3030" w:rsidRPr="00B1460D" w:rsidRDefault="008F3030" w:rsidP="008F3030">
      <w:pPr>
        <w:tabs>
          <w:tab w:val="num" w:pos="502"/>
        </w:tabs>
        <w:spacing w:line="360" w:lineRule="auto"/>
        <w:jc w:val="both"/>
        <w:rPr>
          <w:rFonts w:ascii="Arial" w:hAnsi="Arial" w:cs="Arial"/>
          <w:sz w:val="22"/>
          <w:szCs w:val="22"/>
        </w:rPr>
      </w:pPr>
    </w:p>
    <w:p w:rsidR="008F3030" w:rsidRPr="00B1460D" w:rsidRDefault="008F3030" w:rsidP="008F3030">
      <w:pPr>
        <w:numPr>
          <w:ilvl w:val="0"/>
          <w:numId w:val="22"/>
        </w:numPr>
        <w:tabs>
          <w:tab w:val="num" w:pos="-12"/>
        </w:tabs>
        <w:spacing w:line="360" w:lineRule="auto"/>
        <w:jc w:val="both"/>
        <w:rPr>
          <w:rFonts w:ascii="Arial" w:hAnsi="Arial" w:cs="Arial"/>
          <w:iCs/>
          <w:sz w:val="22"/>
          <w:szCs w:val="22"/>
        </w:rPr>
      </w:pPr>
      <w:r w:rsidRPr="00B1460D">
        <w:rPr>
          <w:rFonts w:ascii="Arial" w:hAnsi="Arial" w:cs="Arial"/>
          <w:iCs/>
          <w:sz w:val="22"/>
          <w:szCs w:val="22"/>
        </w:rPr>
        <w:t xml:space="preserve">Poskytovatel považuje za podezření na nesrovnalost jakékoliv porušení předpisů </w:t>
      </w:r>
      <w:r w:rsidR="00466080" w:rsidRPr="00B1460D">
        <w:rPr>
          <w:rFonts w:ascii="Arial" w:hAnsi="Arial" w:cs="Arial"/>
          <w:iCs/>
          <w:sz w:val="22"/>
          <w:szCs w:val="22"/>
        </w:rPr>
        <w:t xml:space="preserve">EU </w:t>
      </w:r>
      <w:r w:rsidRPr="00B1460D">
        <w:rPr>
          <w:rFonts w:ascii="Arial" w:hAnsi="Arial" w:cs="Arial"/>
          <w:iCs/>
          <w:sz w:val="22"/>
          <w:szCs w:val="22"/>
        </w:rPr>
        <w:t xml:space="preserve">nebo předpisů ČR (včetně podmínek stanovených příjemci touto smlouvou a jejími přílohami), které upravují použití prostředků </w:t>
      </w:r>
      <w:r w:rsidR="00466080" w:rsidRPr="00B1460D">
        <w:rPr>
          <w:rFonts w:ascii="Arial" w:hAnsi="Arial" w:cs="Arial"/>
          <w:iCs/>
          <w:sz w:val="22"/>
          <w:szCs w:val="22"/>
        </w:rPr>
        <w:t xml:space="preserve">EU </w:t>
      </w:r>
      <w:r w:rsidRPr="00B1460D">
        <w:rPr>
          <w:rFonts w:ascii="Arial" w:hAnsi="Arial" w:cs="Arial"/>
          <w:iCs/>
          <w:sz w:val="22"/>
          <w:szCs w:val="22"/>
        </w:rPr>
        <w:t>nebo veřejných zdrojů ČR, v jehož důsledku jsou nebo by mohly být dotčeny veřejné rozpočty ČR nebo rozpočet EU spravované formou neoprávněné výdajové položky.</w:t>
      </w:r>
    </w:p>
    <w:p w:rsidR="008F3030" w:rsidRPr="00B1460D" w:rsidRDefault="008F3030" w:rsidP="008F3030">
      <w:pPr>
        <w:pStyle w:val="Odstavecseseznamem"/>
        <w:rPr>
          <w:rFonts w:ascii="Arial" w:hAnsi="Arial" w:cs="Arial"/>
          <w:iCs/>
          <w:sz w:val="22"/>
          <w:szCs w:val="22"/>
        </w:rPr>
      </w:pPr>
    </w:p>
    <w:p w:rsidR="008F3030" w:rsidRPr="00B1460D" w:rsidRDefault="008F3030" w:rsidP="008F3030">
      <w:pPr>
        <w:pStyle w:val="Odstavecseseznamem"/>
        <w:rPr>
          <w:rFonts w:ascii="Arial" w:hAnsi="Arial" w:cs="Arial"/>
          <w:iCs/>
          <w:sz w:val="22"/>
          <w:szCs w:val="22"/>
        </w:rPr>
      </w:pPr>
    </w:p>
    <w:p w:rsidR="008F3030" w:rsidRPr="00B1460D" w:rsidRDefault="008F3030" w:rsidP="008F3030">
      <w:pPr>
        <w:numPr>
          <w:ilvl w:val="0"/>
          <w:numId w:val="22"/>
        </w:numPr>
        <w:spacing w:line="360" w:lineRule="auto"/>
        <w:jc w:val="both"/>
        <w:rPr>
          <w:rFonts w:ascii="Arial" w:hAnsi="Arial" w:cs="Arial"/>
          <w:sz w:val="22"/>
          <w:szCs w:val="22"/>
        </w:rPr>
      </w:pPr>
      <w:r w:rsidRPr="00B1460D">
        <w:rPr>
          <w:rFonts w:ascii="Arial" w:hAnsi="Arial" w:cs="Arial"/>
          <w:iCs/>
          <w:sz w:val="22"/>
          <w:szCs w:val="22"/>
        </w:rPr>
        <w:t>Pokud poskytovatel zjistí před proplacením dotace nebo její části porušení čl. V. odst. 3 Smlouvy je oprávněn postihnout takovéto porušení provedením finanční korekce dotčených výdajů ve výši  0 - 25% v závislosti na závažnosti každého jednotlivého porušení vycházeje přitom z pokynu COCOF č.07/0037/03 o stanovení finanční korekce v případě porušení pravidel při zadávání veřejných zakázek.  V případě zjištění jiných porušení smlouvy je poskytovatel oprávněn provést finanční korekci ve výši 0 - 5%.  Ustanovení tohoto článku nezbavují poskytovatele dotace možnosti postihnout porušení podmínek Smlouvy finanční korekcí ve výši 100%, jestliže takové porušení znamená nezpůsobilost výdajů projektu.</w:t>
      </w: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numPr>
          <w:ilvl w:val="0"/>
          <w:numId w:val="22"/>
        </w:numPr>
        <w:tabs>
          <w:tab w:val="num" w:pos="502"/>
        </w:tabs>
        <w:spacing w:line="360" w:lineRule="auto"/>
        <w:jc w:val="both"/>
        <w:rPr>
          <w:rFonts w:ascii="Arial" w:hAnsi="Arial" w:cs="Arial"/>
          <w:sz w:val="22"/>
          <w:szCs w:val="22"/>
        </w:rPr>
      </w:pPr>
      <w:r w:rsidRPr="00B1460D">
        <w:rPr>
          <w:rFonts w:ascii="Arial" w:hAnsi="Arial" w:cs="Arial"/>
          <w:sz w:val="22"/>
          <w:szCs w:val="22"/>
        </w:rPr>
        <w:t>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Za porušení méně závažné konkrétní povinnosti se uloží odvod nižší v procentním rozmezí vztahující se k poskytnutým peněžním prostředkům dle přílohy č. 1 této smlouvy. Při stanovení výše odvodu přihlédne poskytovatel k závažnosti porušení a jeho vlivu na dodržení účelu dotace. Při porušení více povinností se procentní částky sčítají.</w:t>
      </w:r>
    </w:p>
    <w:p w:rsidR="008F3030" w:rsidRPr="00B1460D" w:rsidRDefault="008F3030" w:rsidP="008F3030">
      <w:pPr>
        <w:spacing w:line="360" w:lineRule="auto"/>
        <w:jc w:val="both"/>
        <w:rPr>
          <w:rFonts w:ascii="Arial" w:hAnsi="Arial" w:cs="Arial"/>
          <w:i/>
          <w:iCs/>
          <w:sz w:val="22"/>
          <w:szCs w:val="22"/>
        </w:rPr>
      </w:pPr>
    </w:p>
    <w:p w:rsidR="008F3030" w:rsidRPr="00B1460D" w:rsidRDefault="008F3030" w:rsidP="008F3030">
      <w:pPr>
        <w:numPr>
          <w:ilvl w:val="0"/>
          <w:numId w:val="22"/>
        </w:numPr>
        <w:tabs>
          <w:tab w:val="num" w:pos="-12"/>
          <w:tab w:val="num" w:pos="502"/>
        </w:tabs>
        <w:spacing w:line="360" w:lineRule="auto"/>
        <w:jc w:val="both"/>
        <w:rPr>
          <w:rFonts w:ascii="Arial" w:hAnsi="Arial" w:cs="Arial"/>
          <w:sz w:val="22"/>
          <w:szCs w:val="22"/>
        </w:rPr>
      </w:pPr>
      <w:r w:rsidRPr="00B1460D">
        <w:rPr>
          <w:rFonts w:ascii="Arial" w:hAnsi="Arial" w:cs="Arial"/>
          <w:sz w:val="22"/>
          <w:szCs w:val="22"/>
        </w:rPr>
        <w:t>V případě, že dojde k porušení povinností dle této smlouvy a příjemce prokáže, že porušení bylo způsobeno okolnostmi vylučujícími odpovědnost, rozhoduje o dalším postupu poskytovatel.</w:t>
      </w:r>
      <w:r w:rsidRPr="00B1460D">
        <w:rPr>
          <w:rFonts w:ascii="Arial" w:hAnsi="Arial" w:cs="Arial"/>
        </w:rPr>
        <w:t xml:space="preserve"> </w:t>
      </w:r>
      <w:r w:rsidRPr="00B1460D">
        <w:rPr>
          <w:rFonts w:ascii="Arial" w:hAnsi="Arial" w:cs="Arial"/>
          <w:sz w:val="22"/>
          <w:szCs w:val="22"/>
        </w:rPr>
        <w:t xml:space="preserve">Okolností vylučující odpovědnost se rozumí okolnost, která nastala nezávisle na vůli příjemce a brání mu ve splnění povinnosti a současně nelze rozumně předpokládat, že by příjemce tuto překážku nebo její následky odvrátil nebo překonal a že by v době vzniku platnosti a účinnosti této smlouvy tuto překážku předvídal. Odpovědnost příjemce však nevylučuje okolnost, která vznikla v důsledku jeho hospodářských poměrů nebo v důsledku neplnění povinností podle této smlouvy, pravidel ROP nebo právních předpisů ČR nebo EU. </w:t>
      </w:r>
    </w:p>
    <w:p w:rsidR="008F3030" w:rsidRPr="00B1460D" w:rsidRDefault="008F3030" w:rsidP="008F3030">
      <w:pPr>
        <w:tabs>
          <w:tab w:val="num" w:pos="502"/>
        </w:tabs>
        <w:spacing w:line="360" w:lineRule="auto"/>
        <w:jc w:val="both"/>
        <w:rPr>
          <w:rFonts w:ascii="Arial" w:hAnsi="Arial" w:cs="Arial"/>
          <w:sz w:val="22"/>
          <w:szCs w:val="22"/>
        </w:rPr>
      </w:pPr>
    </w:p>
    <w:p w:rsidR="008F3030" w:rsidRPr="00B1460D" w:rsidRDefault="008F3030" w:rsidP="008F3030">
      <w:pPr>
        <w:numPr>
          <w:ilvl w:val="0"/>
          <w:numId w:val="22"/>
        </w:numPr>
        <w:tabs>
          <w:tab w:val="num" w:pos="-12"/>
          <w:tab w:val="num" w:pos="502"/>
        </w:tabs>
        <w:spacing w:line="360" w:lineRule="auto"/>
        <w:jc w:val="both"/>
        <w:rPr>
          <w:rFonts w:ascii="Arial" w:hAnsi="Arial" w:cs="Arial"/>
          <w:sz w:val="22"/>
          <w:szCs w:val="22"/>
        </w:rPr>
      </w:pPr>
      <w:r w:rsidRPr="00B1460D">
        <w:rPr>
          <w:rFonts w:ascii="Arial" w:hAnsi="Arial" w:cs="Arial"/>
          <w:sz w:val="22"/>
          <w:szCs w:val="22"/>
        </w:rPr>
        <w:t>Příjemce prostředky vrací na účet, který mu poskytovatel sdělí. Při vrácení dotace je příjemce povinen uvést stejný variabilní symbol, pod kterým obdržel platbu dotace.</w:t>
      </w:r>
    </w:p>
    <w:p w:rsidR="008F3030" w:rsidRPr="00B1460D" w:rsidRDefault="008F3030" w:rsidP="008F3030">
      <w:pPr>
        <w:tabs>
          <w:tab w:val="num" w:pos="502"/>
        </w:tabs>
        <w:spacing w:line="360" w:lineRule="auto"/>
        <w:jc w:val="both"/>
        <w:rPr>
          <w:rFonts w:ascii="Arial" w:hAnsi="Arial" w:cs="Arial"/>
          <w:sz w:val="22"/>
          <w:szCs w:val="22"/>
        </w:rPr>
      </w:pPr>
    </w:p>
    <w:p w:rsidR="008F3030" w:rsidRPr="00B1460D" w:rsidRDefault="008F3030" w:rsidP="008F3030">
      <w:pPr>
        <w:numPr>
          <w:ilvl w:val="0"/>
          <w:numId w:val="22"/>
        </w:numPr>
        <w:tabs>
          <w:tab w:val="num" w:pos="-12"/>
          <w:tab w:val="num" w:pos="502"/>
        </w:tabs>
        <w:spacing w:line="360" w:lineRule="auto"/>
        <w:jc w:val="both"/>
        <w:rPr>
          <w:rFonts w:ascii="Arial" w:hAnsi="Arial" w:cs="Arial"/>
          <w:sz w:val="22"/>
          <w:szCs w:val="22"/>
        </w:rPr>
      </w:pPr>
      <w:r w:rsidRPr="00B1460D">
        <w:rPr>
          <w:rFonts w:ascii="Arial" w:hAnsi="Arial" w:cs="Arial"/>
          <w:sz w:val="22"/>
          <w:szCs w:val="22"/>
        </w:rPr>
        <w:t>Poskytovatel si vyhrazuje právo pozastavit proplácení finančních prostředků dotace zejména z důvodu změny právních předpisů, živelných přírodních událostí, usnesení vlády či ji</w:t>
      </w:r>
      <w:r w:rsidRPr="00B1460D">
        <w:rPr>
          <w:rFonts w:ascii="Arial" w:hAnsi="Arial" w:cs="Arial"/>
          <w:bCs/>
          <w:iCs/>
          <w:sz w:val="22"/>
          <w:szCs w:val="22"/>
        </w:rPr>
        <w:t>ných objektivních událostí, které poskytovatel nemohl předpokládat</w:t>
      </w:r>
      <w:r w:rsidR="0050100C" w:rsidRPr="00B1460D">
        <w:rPr>
          <w:rFonts w:ascii="Arial" w:hAnsi="Arial" w:cs="Arial"/>
          <w:bCs/>
          <w:iCs/>
          <w:sz w:val="22"/>
          <w:szCs w:val="22"/>
        </w:rPr>
        <w:t xml:space="preserve">, dále je oprávněn pozastavit vyplácení dotace, dojde-li ke zjištění, že příjemce porušuje (anebo porušil) dotčené právní předpisy, předpisy EU anebo Smlouvu (včetně s ní souvisejících závazných dokumentů), a to do doby rozhodnutí </w:t>
      </w:r>
      <w:r w:rsidR="005538F9" w:rsidRPr="00B1460D">
        <w:rPr>
          <w:rFonts w:ascii="Arial" w:hAnsi="Arial" w:cs="Arial"/>
          <w:bCs/>
          <w:iCs/>
          <w:sz w:val="22"/>
          <w:szCs w:val="22"/>
        </w:rPr>
        <w:t xml:space="preserve">poskytovatele </w:t>
      </w:r>
      <w:r w:rsidR="0050100C" w:rsidRPr="00B1460D">
        <w:rPr>
          <w:rFonts w:ascii="Arial" w:hAnsi="Arial" w:cs="Arial"/>
          <w:bCs/>
          <w:iCs/>
          <w:sz w:val="22"/>
          <w:szCs w:val="22"/>
        </w:rPr>
        <w:t>o dalším postupu</w:t>
      </w:r>
      <w:r w:rsidRPr="00B1460D">
        <w:rPr>
          <w:rFonts w:ascii="Arial" w:hAnsi="Arial" w:cs="Arial"/>
          <w:sz w:val="22"/>
          <w:szCs w:val="22"/>
        </w:rPr>
        <w:t xml:space="preserve">.  </w:t>
      </w:r>
    </w:p>
    <w:p w:rsidR="008F3030" w:rsidRPr="00B1460D" w:rsidRDefault="008F3030" w:rsidP="008F3030">
      <w:pPr>
        <w:tabs>
          <w:tab w:val="num" w:pos="502"/>
        </w:tabs>
        <w:spacing w:line="360" w:lineRule="auto"/>
        <w:ind w:left="360"/>
        <w:jc w:val="both"/>
        <w:rPr>
          <w:rFonts w:ascii="Arial" w:hAnsi="Arial" w:cs="Arial"/>
          <w:sz w:val="22"/>
          <w:szCs w:val="22"/>
        </w:rPr>
      </w:pPr>
    </w:p>
    <w:p w:rsidR="008F3030" w:rsidRPr="00B1460D" w:rsidRDefault="008F3030" w:rsidP="008F3030">
      <w:pPr>
        <w:spacing w:line="360" w:lineRule="auto"/>
        <w:jc w:val="center"/>
        <w:rPr>
          <w:rFonts w:ascii="Arial" w:hAnsi="Arial" w:cs="Arial"/>
          <w:b/>
          <w:bCs/>
          <w:sz w:val="22"/>
          <w:szCs w:val="22"/>
        </w:rPr>
      </w:pPr>
      <w:r w:rsidRPr="00B1460D">
        <w:rPr>
          <w:rFonts w:ascii="Arial" w:hAnsi="Arial" w:cs="Arial"/>
          <w:b/>
          <w:sz w:val="22"/>
          <w:szCs w:val="22"/>
        </w:rPr>
        <w:t xml:space="preserve"> VIII.</w:t>
      </w:r>
    </w:p>
    <w:p w:rsidR="008F3030" w:rsidRPr="00B1460D" w:rsidRDefault="008F3030" w:rsidP="008F3030">
      <w:pPr>
        <w:spacing w:line="360" w:lineRule="auto"/>
        <w:jc w:val="center"/>
        <w:rPr>
          <w:rFonts w:ascii="Arial" w:hAnsi="Arial" w:cs="Arial"/>
          <w:b/>
          <w:sz w:val="22"/>
          <w:szCs w:val="22"/>
        </w:rPr>
      </w:pPr>
      <w:r w:rsidRPr="00B1460D">
        <w:rPr>
          <w:rFonts w:ascii="Arial" w:hAnsi="Arial" w:cs="Arial"/>
          <w:b/>
          <w:sz w:val="22"/>
          <w:szCs w:val="22"/>
        </w:rPr>
        <w:t>Ukončení smlouvy</w:t>
      </w:r>
    </w:p>
    <w:p w:rsidR="008F3030" w:rsidRPr="00B1460D" w:rsidRDefault="008F3030" w:rsidP="006661DE">
      <w:pPr>
        <w:pStyle w:val="Zkladntextodsazen"/>
        <w:numPr>
          <w:ilvl w:val="0"/>
          <w:numId w:val="15"/>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 xml:space="preserve">Tuto smlouvu lze ukončit na základě písemné dohody smluvních stran, písemnou výpovědí ze strany příjemce </w:t>
      </w:r>
      <w:r w:rsidR="00753FA6" w:rsidRPr="00B1460D">
        <w:rPr>
          <w:rFonts w:ascii="Arial" w:hAnsi="Arial" w:cs="Arial"/>
          <w:sz w:val="22"/>
          <w:szCs w:val="22"/>
          <w:lang w:val="cs-CZ"/>
        </w:rPr>
        <w:t xml:space="preserve">nebo </w:t>
      </w:r>
      <w:r w:rsidR="007E4DD7" w:rsidRPr="00B1460D">
        <w:rPr>
          <w:rFonts w:ascii="Arial" w:hAnsi="Arial" w:cs="Arial"/>
          <w:sz w:val="22"/>
          <w:szCs w:val="22"/>
          <w:lang w:val="cs-CZ"/>
        </w:rPr>
        <w:t xml:space="preserve">písemnou výpovědí ze strany </w:t>
      </w:r>
      <w:r w:rsidR="001E1AF9" w:rsidRPr="00B1460D">
        <w:rPr>
          <w:rFonts w:ascii="Arial" w:hAnsi="Arial" w:cs="Arial"/>
          <w:sz w:val="22"/>
          <w:szCs w:val="22"/>
          <w:lang w:val="cs-CZ"/>
        </w:rPr>
        <w:t>poskytovatele dotace</w:t>
      </w:r>
      <w:r w:rsidR="006F6AD8" w:rsidRPr="00B1460D">
        <w:rPr>
          <w:rFonts w:ascii="Arial" w:hAnsi="Arial" w:cs="Arial"/>
          <w:sz w:val="22"/>
          <w:szCs w:val="22"/>
          <w:lang w:val="cs-CZ"/>
        </w:rPr>
        <w:t>.</w:t>
      </w:r>
      <w:r w:rsidR="001E1AF9" w:rsidRPr="00B1460D">
        <w:rPr>
          <w:rFonts w:ascii="Arial" w:hAnsi="Arial" w:cs="Arial"/>
          <w:sz w:val="22"/>
          <w:szCs w:val="22"/>
          <w:lang w:val="cs-CZ"/>
        </w:rPr>
        <w:t xml:space="preserve"> </w:t>
      </w:r>
    </w:p>
    <w:p w:rsidR="00166514" w:rsidRPr="00B1460D" w:rsidRDefault="00166514" w:rsidP="00EF5FAF">
      <w:pPr>
        <w:pStyle w:val="Zkladntextodsazen"/>
        <w:spacing w:after="0" w:line="360" w:lineRule="auto"/>
        <w:ind w:left="426"/>
        <w:jc w:val="both"/>
        <w:rPr>
          <w:rFonts w:ascii="Arial" w:hAnsi="Arial" w:cs="Arial"/>
          <w:sz w:val="22"/>
          <w:szCs w:val="22"/>
        </w:rPr>
      </w:pPr>
    </w:p>
    <w:p w:rsidR="008F3030" w:rsidRPr="00B1460D" w:rsidRDefault="008F3030" w:rsidP="008F3030">
      <w:pPr>
        <w:pStyle w:val="Zkladntextodsazen"/>
        <w:numPr>
          <w:ilvl w:val="0"/>
          <w:numId w:val="15"/>
        </w:numPr>
        <w:tabs>
          <w:tab w:val="clear" w:pos="720"/>
          <w:tab w:val="num" w:pos="360"/>
        </w:tabs>
        <w:spacing w:after="0" w:line="360" w:lineRule="auto"/>
        <w:ind w:left="360"/>
        <w:jc w:val="both"/>
        <w:rPr>
          <w:rFonts w:ascii="Arial" w:hAnsi="Arial" w:cs="Arial"/>
          <w:snapToGrid w:val="0"/>
          <w:sz w:val="22"/>
          <w:szCs w:val="22"/>
        </w:rPr>
      </w:pPr>
      <w:r w:rsidRPr="00B1460D">
        <w:rPr>
          <w:rFonts w:ascii="Arial" w:hAnsi="Arial" w:cs="Arial"/>
          <w:sz w:val="22"/>
          <w:szCs w:val="22"/>
        </w:rPr>
        <w:t xml:space="preserve">Při ukončení smlouvy dohodou je příjemce vždy povinen poskytovateli vrátit bezhotovostním převodem poskytnutou částku dotace. Dohoda nabývá účinnosti dnem jejího uzavření, avšak pouze za podmínky, že došlo k vypořádání všech závazků z této smlouvy mezi smluvními stranami, včetně vrácení poskytnuté částky dotace před nabytím její účinnosti. Pokud nejsou závazky vypořádány, nastává účinnost dohody až dnem, kdy je vypořádání závazků dokončeno. Příjemce není oprávněn požadovat proplacení způsobilých výdajů projektu z finančních prostředků dotace, pokud tyto výdaje nastaly po dni uzavření dohody, i když nedošlo k nabytí její účinnosti. </w:t>
      </w:r>
    </w:p>
    <w:p w:rsidR="008F3030" w:rsidRPr="00B1460D" w:rsidRDefault="008F3030" w:rsidP="008F3030">
      <w:pPr>
        <w:pStyle w:val="Zkladntextodsazen"/>
        <w:spacing w:after="0" w:line="360" w:lineRule="auto"/>
        <w:ind w:left="360"/>
        <w:jc w:val="both"/>
        <w:rPr>
          <w:rFonts w:ascii="Arial" w:hAnsi="Arial" w:cs="Arial"/>
          <w:snapToGrid w:val="0"/>
          <w:sz w:val="22"/>
          <w:szCs w:val="22"/>
        </w:rPr>
      </w:pPr>
    </w:p>
    <w:p w:rsidR="008F3030" w:rsidRPr="00B1460D" w:rsidRDefault="008F3030" w:rsidP="008F3030">
      <w:pPr>
        <w:pStyle w:val="Zkladntextodsazen"/>
        <w:numPr>
          <w:ilvl w:val="0"/>
          <w:numId w:val="15"/>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8F3030" w:rsidRPr="00B1460D" w:rsidRDefault="008F3030" w:rsidP="008F3030">
      <w:pPr>
        <w:pStyle w:val="Odstavecseseznamem"/>
        <w:rPr>
          <w:rFonts w:ascii="Arial" w:hAnsi="Arial" w:cs="Arial"/>
          <w:snapToGrid w:val="0"/>
          <w:sz w:val="22"/>
          <w:szCs w:val="22"/>
        </w:rPr>
      </w:pPr>
    </w:p>
    <w:p w:rsidR="008F3030" w:rsidRPr="00B1460D" w:rsidRDefault="008F3030" w:rsidP="008F3030">
      <w:pPr>
        <w:pStyle w:val="Zkladntextodsazen"/>
        <w:numPr>
          <w:ilvl w:val="0"/>
          <w:numId w:val="15"/>
        </w:numPr>
        <w:tabs>
          <w:tab w:val="clear" w:pos="720"/>
        </w:tabs>
        <w:spacing w:after="0" w:line="360" w:lineRule="auto"/>
        <w:ind w:left="426" w:hanging="426"/>
        <w:jc w:val="both"/>
        <w:rPr>
          <w:rFonts w:ascii="Arial" w:hAnsi="Arial" w:cs="Arial"/>
          <w:snapToGrid w:val="0"/>
          <w:sz w:val="22"/>
          <w:szCs w:val="22"/>
        </w:rPr>
      </w:pPr>
      <w:r w:rsidRPr="00B1460D">
        <w:rPr>
          <w:rFonts w:ascii="Arial" w:hAnsi="Arial" w:cs="Arial"/>
          <w:snapToGrid w:val="0"/>
          <w:sz w:val="22"/>
          <w:szCs w:val="22"/>
        </w:rPr>
        <w:t xml:space="preserve">Příjemce může smlouvu vypovědět pouze v těchto případech: </w:t>
      </w:r>
    </w:p>
    <w:p w:rsidR="008F3030" w:rsidRPr="00B1460D" w:rsidRDefault="008F3030" w:rsidP="008F3030">
      <w:pPr>
        <w:pStyle w:val="Zkladntextodsazen"/>
        <w:numPr>
          <w:ilvl w:val="0"/>
          <w:numId w:val="28"/>
        </w:numPr>
        <w:spacing w:after="0" w:line="360" w:lineRule="auto"/>
        <w:ind w:left="426" w:firstLine="0"/>
        <w:jc w:val="both"/>
        <w:rPr>
          <w:rFonts w:ascii="Arial" w:hAnsi="Arial" w:cs="Arial"/>
          <w:snapToGrid w:val="0"/>
          <w:sz w:val="22"/>
          <w:szCs w:val="22"/>
        </w:rPr>
      </w:pPr>
      <w:r w:rsidRPr="00B1460D">
        <w:rPr>
          <w:rFonts w:ascii="Arial" w:hAnsi="Arial" w:cs="Arial"/>
          <w:snapToGrid w:val="0"/>
          <w:sz w:val="22"/>
          <w:szCs w:val="22"/>
        </w:rPr>
        <w:t>poskytovatel bezdůvodně odpírá poskytnutí příslušné částky dotace a v důsledku toho je závažným způsobem ohrožena realizace projektu,</w:t>
      </w:r>
    </w:p>
    <w:p w:rsidR="008F3030" w:rsidRPr="00B1460D" w:rsidRDefault="008F3030" w:rsidP="008F3030">
      <w:pPr>
        <w:pStyle w:val="Odstavecseseznamem"/>
        <w:numPr>
          <w:ilvl w:val="0"/>
          <w:numId w:val="28"/>
        </w:numPr>
        <w:spacing w:line="360" w:lineRule="auto"/>
        <w:ind w:left="426" w:firstLine="0"/>
        <w:jc w:val="both"/>
        <w:rPr>
          <w:rFonts w:ascii="Arial" w:hAnsi="Arial" w:cs="Arial"/>
          <w:snapToGrid w:val="0"/>
          <w:sz w:val="22"/>
          <w:szCs w:val="22"/>
        </w:rPr>
      </w:pPr>
      <w:r w:rsidRPr="00B1460D">
        <w:rPr>
          <w:rFonts w:ascii="Arial" w:hAnsi="Arial" w:cs="Arial"/>
          <w:snapToGrid w:val="0"/>
          <w:sz w:val="22"/>
          <w:szCs w:val="22"/>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8F3030" w:rsidRPr="00B1460D" w:rsidRDefault="008F3030" w:rsidP="008F3030">
      <w:pPr>
        <w:pStyle w:val="Zkladntextodsazen"/>
        <w:spacing w:after="0" w:line="360" w:lineRule="auto"/>
        <w:ind w:left="720"/>
        <w:rPr>
          <w:rFonts w:ascii="Arial" w:hAnsi="Arial" w:cs="Arial"/>
          <w:snapToGrid w:val="0"/>
          <w:sz w:val="22"/>
          <w:szCs w:val="22"/>
        </w:rPr>
      </w:pPr>
    </w:p>
    <w:p w:rsidR="006F6AD8" w:rsidRPr="00B1460D" w:rsidRDefault="008F3030" w:rsidP="006F6AD8">
      <w:pPr>
        <w:pStyle w:val="Zkladntextodsazen"/>
        <w:numPr>
          <w:ilvl w:val="0"/>
          <w:numId w:val="15"/>
        </w:numPr>
        <w:tabs>
          <w:tab w:val="clear" w:pos="720"/>
          <w:tab w:val="num" w:pos="360"/>
        </w:tabs>
        <w:spacing w:after="0" w:line="360" w:lineRule="auto"/>
        <w:ind w:left="360"/>
        <w:jc w:val="both"/>
        <w:rPr>
          <w:rFonts w:ascii="Arial" w:hAnsi="Arial" w:cs="Arial"/>
          <w:sz w:val="22"/>
          <w:szCs w:val="22"/>
        </w:rPr>
      </w:pPr>
      <w:r w:rsidRPr="00B1460D">
        <w:rPr>
          <w:rFonts w:ascii="Arial" w:hAnsi="Arial" w:cs="Arial"/>
        </w:rPr>
        <w:t xml:space="preserve"> </w:t>
      </w:r>
      <w:r w:rsidR="006F6AD8" w:rsidRPr="00B1460D">
        <w:rPr>
          <w:rFonts w:ascii="Arial" w:hAnsi="Arial" w:cs="Arial"/>
          <w:sz w:val="22"/>
          <w:szCs w:val="22"/>
          <w:lang w:val="cs-CZ"/>
        </w:rPr>
        <w:t xml:space="preserve">Poskytovatel dotace je oprávněn ukončit smlouvu </w:t>
      </w:r>
      <w:r w:rsidR="007E4DD7" w:rsidRPr="00B1460D">
        <w:rPr>
          <w:rFonts w:ascii="Arial" w:hAnsi="Arial" w:cs="Arial"/>
          <w:sz w:val="22"/>
          <w:szCs w:val="22"/>
          <w:lang w:val="cs-CZ"/>
        </w:rPr>
        <w:t xml:space="preserve">písemnou </w:t>
      </w:r>
      <w:r w:rsidR="006F6AD8" w:rsidRPr="00B1460D">
        <w:rPr>
          <w:rFonts w:ascii="Arial" w:hAnsi="Arial" w:cs="Arial"/>
          <w:sz w:val="22"/>
          <w:szCs w:val="22"/>
          <w:lang w:val="cs-CZ"/>
        </w:rPr>
        <w:t xml:space="preserve">výpovědí, výpovědní lhůta činí 15 dnů od doručení příjemci. Příjemce je povinen ve výpovědní lhůtě </w:t>
      </w:r>
      <w:r w:rsidR="00723D3E" w:rsidRPr="00B1460D">
        <w:rPr>
          <w:rFonts w:ascii="Arial" w:hAnsi="Arial" w:cs="Arial"/>
          <w:sz w:val="22"/>
          <w:szCs w:val="22"/>
        </w:rPr>
        <w:t>bezhotovostním převodem poskytnutou částku dotace</w:t>
      </w:r>
      <w:r w:rsidR="00723D3E" w:rsidRPr="00B1460D">
        <w:rPr>
          <w:rFonts w:ascii="Arial" w:hAnsi="Arial" w:cs="Arial"/>
          <w:sz w:val="22"/>
          <w:szCs w:val="22"/>
          <w:lang w:val="cs-CZ"/>
        </w:rPr>
        <w:t xml:space="preserve"> poskytovateli </w:t>
      </w:r>
      <w:r w:rsidR="006F6AD8" w:rsidRPr="00B1460D">
        <w:rPr>
          <w:rFonts w:ascii="Arial" w:hAnsi="Arial" w:cs="Arial"/>
          <w:sz w:val="22"/>
          <w:szCs w:val="22"/>
          <w:lang w:val="cs-CZ"/>
        </w:rPr>
        <w:t>vrátit</w:t>
      </w:r>
      <w:r w:rsidR="00723D3E" w:rsidRPr="00B1460D">
        <w:rPr>
          <w:rFonts w:ascii="Arial" w:hAnsi="Arial" w:cs="Arial"/>
          <w:sz w:val="22"/>
          <w:szCs w:val="22"/>
          <w:lang w:val="cs-CZ"/>
        </w:rPr>
        <w:t xml:space="preserve">. </w:t>
      </w:r>
      <w:r w:rsidR="006F6AD8" w:rsidRPr="00B1460D">
        <w:rPr>
          <w:rFonts w:ascii="Arial" w:hAnsi="Arial" w:cs="Arial"/>
          <w:sz w:val="22"/>
          <w:szCs w:val="22"/>
          <w:lang w:val="cs-CZ"/>
        </w:rPr>
        <w:t>Doručením výpovědi současně zaniká nárok příjemce na poskytnutí dotace podle této smlouvy s účinky ex</w:t>
      </w:r>
      <w:r w:rsidR="00EB436B" w:rsidRPr="00B1460D">
        <w:rPr>
          <w:rFonts w:ascii="Arial" w:hAnsi="Arial" w:cs="Arial"/>
          <w:sz w:val="22"/>
          <w:szCs w:val="22"/>
          <w:lang w:val="cs-CZ"/>
        </w:rPr>
        <w:t xml:space="preserve"> </w:t>
      </w:r>
      <w:r w:rsidR="006F6AD8" w:rsidRPr="00B1460D">
        <w:rPr>
          <w:rFonts w:ascii="Arial" w:hAnsi="Arial" w:cs="Arial"/>
          <w:sz w:val="22"/>
          <w:szCs w:val="22"/>
          <w:lang w:val="cs-CZ"/>
        </w:rPr>
        <w:t>tunc. Vypovědět smlouvu může poskytovatel dotace zejména z těchto důvodů:</w:t>
      </w:r>
    </w:p>
    <w:p w:rsidR="006F6AD8" w:rsidRPr="00B1460D" w:rsidRDefault="006F6AD8" w:rsidP="006F6AD8">
      <w:pPr>
        <w:pStyle w:val="Odstavecseseznamem"/>
        <w:rPr>
          <w:rFonts w:ascii="Arial" w:hAnsi="Arial" w:cs="Arial"/>
          <w:sz w:val="22"/>
          <w:szCs w:val="22"/>
        </w:rPr>
      </w:pPr>
    </w:p>
    <w:p w:rsidR="006F6AD8" w:rsidRPr="00B1460D" w:rsidRDefault="006F6AD8" w:rsidP="006F6AD8">
      <w:pPr>
        <w:pStyle w:val="Zkladntextodsazen"/>
        <w:numPr>
          <w:ilvl w:val="0"/>
          <w:numId w:val="45"/>
        </w:numPr>
        <w:spacing w:after="0" w:line="360" w:lineRule="auto"/>
        <w:ind w:left="851" w:hanging="425"/>
        <w:jc w:val="both"/>
        <w:rPr>
          <w:rFonts w:ascii="Arial" w:hAnsi="Arial" w:cs="Arial"/>
          <w:snapToGrid w:val="0"/>
          <w:sz w:val="22"/>
          <w:szCs w:val="22"/>
          <w:lang w:val="cs-CZ"/>
        </w:rPr>
      </w:pPr>
      <w:r w:rsidRPr="00B1460D">
        <w:rPr>
          <w:rFonts w:ascii="Arial" w:hAnsi="Arial" w:cs="Arial"/>
          <w:snapToGrid w:val="0"/>
          <w:sz w:val="22"/>
          <w:szCs w:val="22"/>
          <w:lang w:val="cs-CZ"/>
        </w:rPr>
        <w:t xml:space="preserve">  </w:t>
      </w:r>
      <w:r w:rsidRPr="00B1460D">
        <w:rPr>
          <w:rFonts w:ascii="Arial" w:hAnsi="Arial" w:cs="Arial"/>
          <w:snapToGrid w:val="0"/>
          <w:sz w:val="22"/>
          <w:szCs w:val="22"/>
        </w:rPr>
        <w:t xml:space="preserve">došlo-li na straně </w:t>
      </w:r>
      <w:r w:rsidRPr="00B1460D">
        <w:rPr>
          <w:rFonts w:ascii="Arial" w:hAnsi="Arial" w:cs="Arial"/>
          <w:snapToGrid w:val="0"/>
          <w:sz w:val="22"/>
          <w:szCs w:val="22"/>
          <w:lang w:val="cs-CZ"/>
        </w:rPr>
        <w:t xml:space="preserve">příjemce </w:t>
      </w:r>
      <w:r w:rsidRPr="00B1460D">
        <w:rPr>
          <w:rFonts w:ascii="Arial" w:hAnsi="Arial" w:cs="Arial"/>
          <w:snapToGrid w:val="0"/>
          <w:sz w:val="22"/>
          <w:szCs w:val="22"/>
        </w:rPr>
        <w:t xml:space="preserve">k takové překážce, jež </w:t>
      </w:r>
      <w:r w:rsidRPr="00B1460D">
        <w:rPr>
          <w:rFonts w:ascii="Arial" w:hAnsi="Arial" w:cs="Arial"/>
          <w:snapToGrid w:val="0"/>
          <w:sz w:val="22"/>
          <w:szCs w:val="22"/>
          <w:lang w:val="cs-CZ"/>
        </w:rPr>
        <w:t xml:space="preserve">mu </w:t>
      </w:r>
      <w:r w:rsidRPr="00B1460D">
        <w:rPr>
          <w:rFonts w:ascii="Arial" w:hAnsi="Arial" w:cs="Arial"/>
          <w:snapToGrid w:val="0"/>
          <w:sz w:val="22"/>
          <w:szCs w:val="22"/>
        </w:rPr>
        <w:t xml:space="preserve">brání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považuje </w:t>
      </w:r>
      <w:r w:rsidRPr="00B1460D">
        <w:rPr>
          <w:rFonts w:ascii="Arial" w:hAnsi="Arial" w:cs="Arial"/>
          <w:snapToGrid w:val="0"/>
          <w:sz w:val="22"/>
          <w:szCs w:val="22"/>
          <w:lang w:val="cs-CZ"/>
        </w:rPr>
        <w:t xml:space="preserve">také </w:t>
      </w:r>
      <w:r w:rsidRPr="00B1460D">
        <w:rPr>
          <w:rFonts w:ascii="Arial" w:hAnsi="Arial" w:cs="Arial"/>
          <w:snapToGrid w:val="0"/>
          <w:sz w:val="22"/>
          <w:szCs w:val="22"/>
        </w:rPr>
        <w:t>překážka, která vznikla v důsledku hospodářských poměrů příjemce nebo v důsledku neplnění povinností, které mu plynou z této smlouvy, pravidel ROP nebo právních předpisů ČR a EU.</w:t>
      </w:r>
    </w:p>
    <w:p w:rsidR="006F6AD8" w:rsidRPr="00B1460D" w:rsidRDefault="006F6AD8" w:rsidP="006F6AD8">
      <w:pPr>
        <w:pStyle w:val="Zkladntextodsazen"/>
        <w:numPr>
          <w:ilvl w:val="0"/>
          <w:numId w:val="45"/>
        </w:numPr>
        <w:spacing w:after="0" w:line="360" w:lineRule="auto"/>
        <w:ind w:left="851" w:hanging="425"/>
        <w:jc w:val="both"/>
        <w:rPr>
          <w:rFonts w:ascii="Arial" w:hAnsi="Arial" w:cs="Arial"/>
          <w:snapToGrid w:val="0"/>
          <w:sz w:val="22"/>
          <w:szCs w:val="22"/>
          <w:lang w:val="cs-CZ"/>
        </w:rPr>
      </w:pPr>
      <w:r w:rsidRPr="00B1460D">
        <w:rPr>
          <w:rFonts w:ascii="Arial" w:hAnsi="Arial" w:cs="Arial"/>
          <w:snapToGrid w:val="0"/>
          <w:sz w:val="22"/>
          <w:szCs w:val="22"/>
          <w:lang w:val="cs-CZ"/>
        </w:rPr>
        <w:t xml:space="preserve"> z důvodu odmítnutí jednostranné změny</w:t>
      </w:r>
      <w:r w:rsidRPr="00B1460D">
        <w:rPr>
          <w:rFonts w:ascii="Arial" w:hAnsi="Arial" w:cs="Arial"/>
          <w:snapToGrid w:val="0"/>
          <w:sz w:val="22"/>
          <w:szCs w:val="22"/>
        </w:rPr>
        <w:t xml:space="preserve"> </w:t>
      </w:r>
      <w:r w:rsidRPr="00B1460D">
        <w:rPr>
          <w:rFonts w:ascii="Arial" w:hAnsi="Arial" w:cs="Arial"/>
          <w:snapToGrid w:val="0"/>
          <w:sz w:val="22"/>
          <w:szCs w:val="22"/>
          <w:lang w:val="cs-CZ"/>
        </w:rPr>
        <w:t>podmínek smlouvy učiněné formou vydání metodického pokynu ze strany příjemce</w:t>
      </w:r>
    </w:p>
    <w:p w:rsidR="006F6AD8" w:rsidRPr="00B1460D" w:rsidRDefault="006F6AD8" w:rsidP="006F6AD8">
      <w:pPr>
        <w:pStyle w:val="Zkladntextodsazen"/>
        <w:numPr>
          <w:ilvl w:val="0"/>
          <w:numId w:val="45"/>
        </w:numPr>
        <w:spacing w:after="0" w:line="360" w:lineRule="auto"/>
        <w:ind w:left="851" w:hanging="425"/>
        <w:jc w:val="both"/>
        <w:rPr>
          <w:rFonts w:ascii="Arial" w:hAnsi="Arial" w:cs="Arial"/>
          <w:snapToGrid w:val="0"/>
          <w:sz w:val="22"/>
          <w:szCs w:val="22"/>
          <w:lang w:val="cs-CZ"/>
        </w:rPr>
      </w:pPr>
      <w:r w:rsidRPr="00B1460D">
        <w:rPr>
          <w:rFonts w:ascii="Arial" w:hAnsi="Arial" w:cs="Arial"/>
          <w:sz w:val="22"/>
          <w:szCs w:val="22"/>
        </w:rPr>
        <w:t>z důvodu podstatného porušení povinností příjemcem, kterým se rozumí:</w:t>
      </w:r>
    </w:p>
    <w:p w:rsidR="006F6AD8" w:rsidRPr="00B1460D" w:rsidRDefault="006F6AD8" w:rsidP="006F6AD8">
      <w:pPr>
        <w:pStyle w:val="Zkladntextodsazen"/>
        <w:spacing w:line="360" w:lineRule="auto"/>
        <w:ind w:left="851"/>
        <w:jc w:val="both"/>
        <w:rPr>
          <w:rFonts w:ascii="Arial" w:hAnsi="Arial" w:cs="Arial"/>
          <w:sz w:val="22"/>
          <w:szCs w:val="22"/>
        </w:rPr>
      </w:pPr>
      <w:r w:rsidRPr="00B1460D">
        <w:rPr>
          <w:rFonts w:ascii="Arial" w:hAnsi="Arial" w:cs="Arial"/>
          <w:sz w:val="22"/>
          <w:szCs w:val="22"/>
        </w:rPr>
        <w:t>a)</w:t>
      </w:r>
      <w:r w:rsidRPr="00B1460D">
        <w:rPr>
          <w:rFonts w:ascii="Arial" w:hAnsi="Arial" w:cs="Arial"/>
          <w:sz w:val="22"/>
          <w:szCs w:val="22"/>
        </w:rPr>
        <w:tab/>
        <w:t>porušení rozpočtové kázně a/nebo vznik nesrovnalostí,</w:t>
      </w:r>
    </w:p>
    <w:p w:rsidR="006F6AD8" w:rsidRPr="00B1460D" w:rsidRDefault="006F6AD8" w:rsidP="006F6AD8">
      <w:pPr>
        <w:pStyle w:val="Zkladntextodsazen"/>
        <w:spacing w:line="360" w:lineRule="auto"/>
        <w:ind w:left="851"/>
        <w:jc w:val="both"/>
        <w:rPr>
          <w:rFonts w:ascii="Arial" w:hAnsi="Arial" w:cs="Arial"/>
          <w:sz w:val="22"/>
          <w:szCs w:val="22"/>
        </w:rPr>
      </w:pPr>
      <w:r w:rsidRPr="00B1460D">
        <w:rPr>
          <w:rFonts w:ascii="Arial" w:hAnsi="Arial" w:cs="Arial"/>
          <w:sz w:val="22"/>
          <w:szCs w:val="22"/>
        </w:rPr>
        <w:t>b)</w:t>
      </w:r>
      <w:r w:rsidRPr="00B1460D">
        <w:rPr>
          <w:rFonts w:ascii="Arial" w:hAnsi="Arial" w:cs="Arial"/>
          <w:sz w:val="22"/>
          <w:szCs w:val="22"/>
        </w:rPr>
        <w:tab/>
        <w:t>porušení pravidel veřejné podpory,</w:t>
      </w:r>
    </w:p>
    <w:p w:rsidR="006F6AD8" w:rsidRPr="00B1460D" w:rsidRDefault="006F6AD8" w:rsidP="006661DE">
      <w:pPr>
        <w:pStyle w:val="Zkladntextodsazen"/>
        <w:spacing w:line="360" w:lineRule="auto"/>
        <w:ind w:left="1406" w:hanging="555"/>
        <w:jc w:val="both"/>
        <w:rPr>
          <w:rFonts w:ascii="Arial" w:hAnsi="Arial" w:cs="Arial"/>
          <w:sz w:val="22"/>
          <w:szCs w:val="22"/>
        </w:rPr>
      </w:pPr>
      <w:r w:rsidRPr="00B1460D">
        <w:rPr>
          <w:rFonts w:ascii="Arial" w:hAnsi="Arial" w:cs="Arial"/>
          <w:sz w:val="22"/>
          <w:szCs w:val="22"/>
        </w:rPr>
        <w:t>c)</w:t>
      </w:r>
      <w:r w:rsidRPr="00B1460D">
        <w:rPr>
          <w:rFonts w:ascii="Arial" w:hAnsi="Arial" w:cs="Arial"/>
          <w:sz w:val="22"/>
          <w:szCs w:val="22"/>
        </w:rPr>
        <w:tab/>
        <w:t xml:space="preserve">provedení právního </w:t>
      </w:r>
      <w:r w:rsidR="00861E03" w:rsidRPr="00B1460D">
        <w:rPr>
          <w:rFonts w:ascii="Arial" w:hAnsi="Arial" w:cs="Arial"/>
          <w:sz w:val="22"/>
          <w:szCs w:val="22"/>
          <w:lang w:val="cs-CZ"/>
        </w:rPr>
        <w:t>jednání</w:t>
      </w:r>
      <w:r w:rsidRPr="00B1460D">
        <w:rPr>
          <w:rFonts w:ascii="Arial" w:hAnsi="Arial" w:cs="Arial"/>
          <w:sz w:val="22"/>
          <w:szCs w:val="22"/>
        </w:rPr>
        <w:t xml:space="preserve">, </w:t>
      </w:r>
      <w:r w:rsidR="00861E03" w:rsidRPr="00B1460D">
        <w:rPr>
          <w:rFonts w:ascii="Arial" w:hAnsi="Arial" w:cs="Arial"/>
          <w:sz w:val="22"/>
          <w:szCs w:val="22"/>
        </w:rPr>
        <w:t>kter</w:t>
      </w:r>
      <w:r w:rsidR="00861E03" w:rsidRPr="00B1460D">
        <w:rPr>
          <w:rFonts w:ascii="Arial" w:hAnsi="Arial" w:cs="Arial"/>
          <w:sz w:val="22"/>
          <w:szCs w:val="22"/>
          <w:lang w:val="cs-CZ"/>
        </w:rPr>
        <w:t>é</w:t>
      </w:r>
      <w:r w:rsidR="00861E03" w:rsidRPr="00B1460D">
        <w:rPr>
          <w:rFonts w:ascii="Arial" w:hAnsi="Arial" w:cs="Arial"/>
          <w:sz w:val="22"/>
          <w:szCs w:val="22"/>
        </w:rPr>
        <w:t xml:space="preserve"> </w:t>
      </w:r>
      <w:r w:rsidRPr="00B1460D">
        <w:rPr>
          <w:rFonts w:ascii="Arial" w:hAnsi="Arial" w:cs="Arial"/>
          <w:sz w:val="22"/>
          <w:szCs w:val="22"/>
        </w:rPr>
        <w:t>je podmíněn</w:t>
      </w:r>
      <w:r w:rsidR="00861E03" w:rsidRPr="00B1460D">
        <w:rPr>
          <w:rFonts w:ascii="Arial" w:hAnsi="Arial" w:cs="Arial"/>
          <w:sz w:val="22"/>
          <w:szCs w:val="22"/>
          <w:lang w:val="cs-CZ"/>
        </w:rPr>
        <w:t>o</w:t>
      </w:r>
      <w:r w:rsidRPr="00B1460D">
        <w:rPr>
          <w:rFonts w:ascii="Arial" w:hAnsi="Arial" w:cs="Arial"/>
          <w:sz w:val="22"/>
          <w:szCs w:val="22"/>
        </w:rPr>
        <w:t xml:space="preserve"> souhlasem poskytovatele, bez tohoto souhlasu,</w:t>
      </w:r>
    </w:p>
    <w:p w:rsidR="006F6AD8" w:rsidRPr="00B1460D" w:rsidRDefault="006F6AD8" w:rsidP="006661DE">
      <w:pPr>
        <w:pStyle w:val="Zkladntextodsazen"/>
        <w:spacing w:line="360" w:lineRule="auto"/>
        <w:ind w:left="1406" w:hanging="555"/>
        <w:jc w:val="both"/>
        <w:rPr>
          <w:rFonts w:ascii="Arial" w:hAnsi="Arial" w:cs="Arial"/>
          <w:sz w:val="22"/>
          <w:szCs w:val="22"/>
        </w:rPr>
      </w:pPr>
      <w:r w:rsidRPr="00B1460D">
        <w:rPr>
          <w:rFonts w:ascii="Arial" w:hAnsi="Arial" w:cs="Arial"/>
          <w:sz w:val="22"/>
          <w:szCs w:val="22"/>
        </w:rPr>
        <w:t>d)</w:t>
      </w:r>
      <w:r w:rsidRPr="00B1460D">
        <w:rPr>
          <w:rFonts w:ascii="Arial" w:hAnsi="Arial" w:cs="Arial"/>
          <w:sz w:val="22"/>
          <w:szCs w:val="22"/>
        </w:rPr>
        <w:tab/>
        <w:t>převedení nebo postoupení pohledávek ze smlouvy a plateb s nimi spojených bez předchozího písemného souhlasu poskytovatele,</w:t>
      </w:r>
    </w:p>
    <w:p w:rsidR="006F6AD8" w:rsidRPr="00B1460D" w:rsidRDefault="006F6AD8" w:rsidP="006661DE">
      <w:pPr>
        <w:pStyle w:val="Zkladntextodsazen"/>
        <w:spacing w:line="360" w:lineRule="auto"/>
        <w:ind w:left="1406" w:hanging="555"/>
        <w:jc w:val="both"/>
        <w:rPr>
          <w:rFonts w:ascii="Arial" w:hAnsi="Arial" w:cs="Arial"/>
          <w:sz w:val="22"/>
          <w:szCs w:val="22"/>
          <w:lang w:val="cs-CZ"/>
        </w:rPr>
      </w:pPr>
      <w:r w:rsidRPr="00B1460D">
        <w:rPr>
          <w:rFonts w:ascii="Arial" w:hAnsi="Arial" w:cs="Arial"/>
          <w:sz w:val="22"/>
          <w:szCs w:val="22"/>
        </w:rPr>
        <w:t>e)</w:t>
      </w:r>
      <w:r w:rsidRPr="00B1460D">
        <w:rPr>
          <w:rFonts w:ascii="Arial" w:hAnsi="Arial" w:cs="Arial"/>
          <w:sz w:val="22"/>
          <w:szCs w:val="22"/>
        </w:rPr>
        <w:tab/>
        <w:t>úpadek příjemce, zánik příjemce s likvidací nebo bez likvidace, uvalení nucené správy,</w:t>
      </w:r>
    </w:p>
    <w:p w:rsidR="006F6AD8" w:rsidRPr="00B1460D" w:rsidRDefault="00861E03" w:rsidP="006F6AD8">
      <w:pPr>
        <w:pStyle w:val="Zkladntextodsazen"/>
        <w:spacing w:line="360" w:lineRule="auto"/>
        <w:ind w:left="851"/>
        <w:jc w:val="both"/>
        <w:rPr>
          <w:rFonts w:ascii="Arial" w:hAnsi="Arial" w:cs="Arial"/>
          <w:sz w:val="22"/>
          <w:szCs w:val="22"/>
        </w:rPr>
      </w:pPr>
      <w:r w:rsidRPr="00B1460D">
        <w:rPr>
          <w:rFonts w:ascii="Arial" w:hAnsi="Arial" w:cs="Arial"/>
          <w:sz w:val="22"/>
          <w:szCs w:val="22"/>
          <w:lang w:val="cs-CZ"/>
        </w:rPr>
        <w:t>f</w:t>
      </w:r>
      <w:r w:rsidR="006F6AD8" w:rsidRPr="00B1460D">
        <w:rPr>
          <w:rFonts w:ascii="Arial" w:hAnsi="Arial" w:cs="Arial"/>
          <w:sz w:val="22"/>
          <w:szCs w:val="22"/>
        </w:rPr>
        <w:t>)</w:t>
      </w:r>
      <w:r w:rsidR="006F6AD8" w:rsidRPr="00B1460D">
        <w:rPr>
          <w:rFonts w:ascii="Arial" w:hAnsi="Arial" w:cs="Arial"/>
          <w:sz w:val="22"/>
          <w:szCs w:val="22"/>
        </w:rPr>
        <w:tab/>
        <w:t>neplnění povinností v souvislosti s veřejnosprávní kontrolou a/nebo auditem,</w:t>
      </w:r>
    </w:p>
    <w:p w:rsidR="006F6AD8" w:rsidRPr="00B1460D" w:rsidRDefault="00861E03" w:rsidP="006661DE">
      <w:pPr>
        <w:pStyle w:val="Zkladntextodsazen"/>
        <w:spacing w:line="360" w:lineRule="auto"/>
        <w:ind w:left="1406" w:hanging="555"/>
        <w:jc w:val="both"/>
        <w:rPr>
          <w:rFonts w:ascii="Arial" w:hAnsi="Arial" w:cs="Arial"/>
          <w:sz w:val="22"/>
          <w:szCs w:val="22"/>
          <w:lang w:val="cs-CZ"/>
        </w:rPr>
      </w:pPr>
      <w:r w:rsidRPr="00B1460D">
        <w:rPr>
          <w:rFonts w:ascii="Arial" w:hAnsi="Arial" w:cs="Arial"/>
          <w:sz w:val="22"/>
          <w:szCs w:val="22"/>
          <w:lang w:val="cs-CZ"/>
        </w:rPr>
        <w:t>g</w:t>
      </w:r>
      <w:r w:rsidR="006F6AD8" w:rsidRPr="00B1460D">
        <w:rPr>
          <w:rFonts w:ascii="Arial" w:hAnsi="Arial" w:cs="Arial"/>
          <w:sz w:val="22"/>
          <w:szCs w:val="22"/>
        </w:rPr>
        <w:t>)</w:t>
      </w:r>
      <w:r w:rsidR="006F6AD8" w:rsidRPr="00B1460D">
        <w:rPr>
          <w:rFonts w:ascii="Arial" w:hAnsi="Arial" w:cs="Arial"/>
          <w:sz w:val="22"/>
          <w:szCs w:val="22"/>
        </w:rPr>
        <w:tab/>
        <w:t>ani po výzvě poskytovatele nezanechání porušování povinností stanovených v této smlouvě nebo pravidlech ROP, popř. neodstranění následků těchto porušení ve lhůtě stanovené poskytovatelem.</w:t>
      </w:r>
    </w:p>
    <w:p w:rsidR="0048327E" w:rsidRPr="00B1460D" w:rsidRDefault="0048327E" w:rsidP="0048327E">
      <w:pPr>
        <w:pStyle w:val="Zkladntextodsazen"/>
        <w:spacing w:line="360" w:lineRule="auto"/>
        <w:ind w:left="357"/>
        <w:jc w:val="both"/>
        <w:rPr>
          <w:rFonts w:ascii="Arial" w:hAnsi="Arial" w:cs="Arial"/>
          <w:sz w:val="22"/>
          <w:szCs w:val="22"/>
          <w:lang w:val="cs-CZ"/>
        </w:rPr>
      </w:pPr>
      <w:r w:rsidRPr="00B1460D">
        <w:rPr>
          <w:rFonts w:ascii="Arial" w:hAnsi="Arial" w:cs="Arial"/>
          <w:sz w:val="22"/>
          <w:szCs w:val="22"/>
          <w:lang w:val="cs-CZ"/>
        </w:rPr>
        <w:t>iv) z</w:t>
      </w:r>
      <w:r w:rsidRPr="00B1460D">
        <w:rPr>
          <w:rFonts w:ascii="Arial" w:hAnsi="Arial" w:cs="Arial"/>
          <w:sz w:val="22"/>
          <w:szCs w:val="22"/>
        </w:rPr>
        <w:t xml:space="preserve"> důvodu </w:t>
      </w:r>
      <w:r w:rsidRPr="00B1460D">
        <w:rPr>
          <w:rFonts w:ascii="Arial" w:hAnsi="Arial" w:cs="Arial"/>
          <w:sz w:val="22"/>
          <w:szCs w:val="22"/>
          <w:lang w:val="cs-CZ"/>
        </w:rPr>
        <w:t xml:space="preserve">podstatné </w:t>
      </w:r>
      <w:r w:rsidRPr="00B1460D">
        <w:rPr>
          <w:rFonts w:ascii="Arial" w:hAnsi="Arial" w:cs="Arial"/>
          <w:sz w:val="22"/>
          <w:szCs w:val="22"/>
        </w:rPr>
        <w:t>změn</w:t>
      </w:r>
      <w:r w:rsidRPr="00B1460D">
        <w:rPr>
          <w:rFonts w:ascii="Arial" w:hAnsi="Arial" w:cs="Arial"/>
          <w:sz w:val="22"/>
          <w:szCs w:val="22"/>
          <w:lang w:val="cs-CZ"/>
        </w:rPr>
        <w:t>y</w:t>
      </w:r>
      <w:r w:rsidRPr="00B1460D">
        <w:rPr>
          <w:rFonts w:ascii="Arial" w:hAnsi="Arial" w:cs="Arial"/>
          <w:sz w:val="22"/>
          <w:szCs w:val="22"/>
        </w:rPr>
        <w:t xml:space="preserve"> poměr</w:t>
      </w:r>
      <w:r w:rsidRPr="00B1460D">
        <w:rPr>
          <w:rFonts w:ascii="Arial" w:hAnsi="Arial" w:cs="Arial"/>
          <w:sz w:val="22"/>
          <w:szCs w:val="22"/>
          <w:lang w:val="cs-CZ"/>
        </w:rPr>
        <w:t>ů</w:t>
      </w:r>
      <w:r w:rsidRPr="00B1460D">
        <w:rPr>
          <w:rFonts w:ascii="Arial" w:hAnsi="Arial" w:cs="Arial"/>
          <w:sz w:val="22"/>
          <w:szCs w:val="22"/>
        </w:rPr>
        <w:t>, které byly rozhodující pro stanovení obsahu veřejnoprávní smlouvy, a plnění této smlouvy nelze na smluvní straně z tohoto důvodu spravedlivě požadovat,</w:t>
      </w:r>
    </w:p>
    <w:p w:rsidR="0048327E" w:rsidRPr="00B1460D" w:rsidRDefault="0048327E" w:rsidP="0048327E">
      <w:pPr>
        <w:pStyle w:val="Zkladntextodsazen"/>
        <w:spacing w:line="360" w:lineRule="auto"/>
        <w:ind w:left="357"/>
        <w:jc w:val="both"/>
        <w:rPr>
          <w:rFonts w:ascii="Arial" w:hAnsi="Arial" w:cs="Arial"/>
          <w:sz w:val="22"/>
          <w:szCs w:val="22"/>
          <w:lang w:val="cs-CZ"/>
        </w:rPr>
      </w:pPr>
      <w:r w:rsidRPr="00B1460D">
        <w:rPr>
          <w:rFonts w:ascii="Arial" w:hAnsi="Arial" w:cs="Arial"/>
          <w:sz w:val="22"/>
          <w:szCs w:val="22"/>
          <w:lang w:val="cs-CZ"/>
        </w:rPr>
        <w:t xml:space="preserve">v) jestliže se veřejnoprávní smlouva </w:t>
      </w:r>
      <w:r w:rsidR="00674FE8" w:rsidRPr="00B1460D">
        <w:rPr>
          <w:rFonts w:ascii="Arial" w:hAnsi="Arial" w:cs="Arial"/>
          <w:sz w:val="22"/>
          <w:szCs w:val="22"/>
          <w:lang w:val="cs-CZ"/>
        </w:rPr>
        <w:t>dostala</w:t>
      </w:r>
      <w:r w:rsidRPr="00B1460D">
        <w:rPr>
          <w:rFonts w:ascii="Arial" w:hAnsi="Arial" w:cs="Arial"/>
          <w:sz w:val="22"/>
          <w:szCs w:val="22"/>
          <w:lang w:val="cs-CZ"/>
        </w:rPr>
        <w:t xml:space="preserve"> do rozporu s právními předpisy,</w:t>
      </w:r>
    </w:p>
    <w:p w:rsidR="0048327E" w:rsidRPr="00B1460D" w:rsidRDefault="0048327E" w:rsidP="0048327E">
      <w:pPr>
        <w:pStyle w:val="Zkladntextodsazen"/>
        <w:spacing w:line="360" w:lineRule="auto"/>
        <w:ind w:left="357"/>
        <w:jc w:val="both"/>
        <w:rPr>
          <w:rFonts w:ascii="Arial" w:hAnsi="Arial" w:cs="Arial"/>
          <w:sz w:val="22"/>
          <w:szCs w:val="22"/>
          <w:lang w:val="cs-CZ"/>
        </w:rPr>
      </w:pPr>
      <w:r w:rsidRPr="00B1460D">
        <w:rPr>
          <w:rFonts w:ascii="Arial" w:hAnsi="Arial" w:cs="Arial"/>
          <w:sz w:val="22"/>
          <w:szCs w:val="22"/>
          <w:lang w:val="cs-CZ"/>
        </w:rPr>
        <w:t>vi) z důvodu ochrany veřejného zájmu</w:t>
      </w:r>
    </w:p>
    <w:p w:rsidR="008F3030" w:rsidRPr="00B1460D" w:rsidRDefault="0048327E" w:rsidP="00612C0E">
      <w:pPr>
        <w:pStyle w:val="Zkladntextodsazen"/>
        <w:spacing w:line="360" w:lineRule="auto"/>
        <w:ind w:left="357"/>
        <w:jc w:val="both"/>
        <w:rPr>
          <w:rFonts w:ascii="Arial" w:hAnsi="Arial" w:cs="Arial"/>
          <w:sz w:val="22"/>
          <w:szCs w:val="22"/>
          <w:lang w:val="cs-CZ"/>
        </w:rPr>
      </w:pPr>
      <w:r w:rsidRPr="00B1460D">
        <w:rPr>
          <w:rFonts w:ascii="Arial" w:hAnsi="Arial" w:cs="Arial"/>
          <w:sz w:val="22"/>
          <w:szCs w:val="22"/>
          <w:lang w:val="cs-CZ"/>
        </w:rPr>
        <w:t xml:space="preserve">vii) </w:t>
      </w:r>
      <w:r w:rsidRPr="00B1460D">
        <w:rPr>
          <w:rFonts w:ascii="Arial" w:hAnsi="Arial" w:cs="Arial"/>
          <w:sz w:val="22"/>
          <w:szCs w:val="22"/>
        </w:rPr>
        <w:t>jestliže vyšly najevo skutečnosti, které existovaly v době uzavírání veřejnoprávní smlouvy a nebyly smluvní straně bez jejího zavinění známy, pokud tato strana prokáže, že by s jejich znalostí veřejnoprávní smlouvu neuzavřela.</w:t>
      </w:r>
    </w:p>
    <w:p w:rsidR="008F3030" w:rsidRPr="00B1460D" w:rsidRDefault="008F3030" w:rsidP="008F3030">
      <w:pPr>
        <w:pStyle w:val="Odstavecseseznamem"/>
        <w:rPr>
          <w:rFonts w:ascii="Arial" w:hAnsi="Arial" w:cs="Arial"/>
          <w:sz w:val="22"/>
          <w:szCs w:val="22"/>
        </w:rPr>
      </w:pPr>
    </w:p>
    <w:p w:rsidR="008F3030" w:rsidRPr="00B1460D" w:rsidRDefault="008F3030" w:rsidP="008F3030">
      <w:pPr>
        <w:pStyle w:val="Zkladntextodsazen"/>
        <w:numPr>
          <w:ilvl w:val="0"/>
          <w:numId w:val="15"/>
        </w:numPr>
        <w:tabs>
          <w:tab w:val="clear" w:pos="720"/>
          <w:tab w:val="num" w:pos="360"/>
        </w:tabs>
        <w:spacing w:line="360" w:lineRule="auto"/>
        <w:ind w:left="360"/>
        <w:jc w:val="both"/>
        <w:rPr>
          <w:rFonts w:ascii="Arial" w:hAnsi="Arial" w:cs="Arial"/>
          <w:snapToGrid w:val="0"/>
          <w:sz w:val="22"/>
          <w:szCs w:val="22"/>
        </w:rPr>
      </w:pPr>
      <w:r w:rsidRPr="00B1460D">
        <w:rPr>
          <w:rFonts w:ascii="Arial" w:hAnsi="Arial" w:cs="Arial"/>
          <w:snapToGrid w:val="0"/>
          <w:sz w:val="22"/>
          <w:szCs w:val="22"/>
        </w:rPr>
        <w:t>Pokud příjemce ve stanovené lhůtě požadované prostředky poskytovateli nevrátí, považují se za prostředky zadržené ve smyslu zákona č. 250/2000 Sb., o rozpočtových pravidlech územních rozpočtů, ve znění pozdějších předpisů.</w:t>
      </w:r>
    </w:p>
    <w:p w:rsidR="008F3030" w:rsidRPr="00B1460D" w:rsidRDefault="008F3030" w:rsidP="008F3030">
      <w:pPr>
        <w:pStyle w:val="Odstavecseseznamem"/>
        <w:rPr>
          <w:rFonts w:ascii="Arial" w:hAnsi="Arial" w:cs="Arial"/>
          <w:snapToGrid w:val="0"/>
          <w:sz w:val="22"/>
          <w:szCs w:val="22"/>
        </w:rPr>
      </w:pPr>
    </w:p>
    <w:p w:rsidR="008F3030" w:rsidRPr="00B1460D" w:rsidRDefault="008F3030" w:rsidP="008F3030">
      <w:pPr>
        <w:pStyle w:val="Zkladntextodsazen"/>
        <w:numPr>
          <w:ilvl w:val="0"/>
          <w:numId w:val="15"/>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Veškeré povinnosti plateb vyplývající z tohoto článku smlouvy provede příjemce formou bezhotovostního převodu na účet poskytovatele, jehož číslo poskytovatel v tomto případě příjemci sdělí.</w:t>
      </w:r>
    </w:p>
    <w:p w:rsidR="00824840" w:rsidRPr="00B1460D" w:rsidRDefault="00824840" w:rsidP="00764F26">
      <w:pPr>
        <w:pStyle w:val="Zkladntextodsazen"/>
        <w:spacing w:after="0" w:line="360" w:lineRule="auto"/>
        <w:ind w:left="360"/>
        <w:jc w:val="both"/>
        <w:rPr>
          <w:rFonts w:ascii="Arial" w:hAnsi="Arial" w:cs="Arial"/>
          <w:sz w:val="22"/>
          <w:szCs w:val="22"/>
          <w:lang w:val="cs-CZ"/>
        </w:rPr>
      </w:pPr>
    </w:p>
    <w:p w:rsidR="008F3030" w:rsidRPr="00B1460D" w:rsidRDefault="008F3030" w:rsidP="008F3030">
      <w:pPr>
        <w:spacing w:line="360" w:lineRule="auto"/>
        <w:jc w:val="center"/>
        <w:rPr>
          <w:rFonts w:ascii="Arial" w:hAnsi="Arial" w:cs="Arial"/>
          <w:b/>
          <w:sz w:val="22"/>
          <w:szCs w:val="22"/>
        </w:rPr>
      </w:pPr>
      <w:r w:rsidRPr="00B1460D">
        <w:rPr>
          <w:rFonts w:ascii="Arial" w:hAnsi="Arial" w:cs="Arial"/>
          <w:b/>
          <w:sz w:val="22"/>
          <w:szCs w:val="22"/>
        </w:rPr>
        <w:t>IX.</w:t>
      </w:r>
    </w:p>
    <w:p w:rsidR="008F3030" w:rsidRPr="00B1460D" w:rsidRDefault="008F3030" w:rsidP="008F3030">
      <w:pPr>
        <w:spacing w:line="360" w:lineRule="auto"/>
        <w:jc w:val="center"/>
        <w:rPr>
          <w:rFonts w:ascii="Arial" w:hAnsi="Arial" w:cs="Arial"/>
          <w:b/>
          <w:sz w:val="22"/>
          <w:szCs w:val="22"/>
        </w:rPr>
      </w:pPr>
      <w:r w:rsidRPr="00B1460D">
        <w:rPr>
          <w:rFonts w:ascii="Arial" w:hAnsi="Arial" w:cs="Arial"/>
          <w:b/>
          <w:sz w:val="22"/>
          <w:szCs w:val="22"/>
        </w:rPr>
        <w:t>Závěrečná ustanovení</w:t>
      </w:r>
    </w:p>
    <w:p w:rsidR="008F3030" w:rsidRPr="00B1460D" w:rsidRDefault="008F3030" w:rsidP="008F3030">
      <w:pPr>
        <w:widowControl w:val="0"/>
        <w:numPr>
          <w:ilvl w:val="0"/>
          <w:numId w:val="23"/>
        </w:numPr>
        <w:tabs>
          <w:tab w:val="clear" w:pos="720"/>
          <w:tab w:val="num" w:pos="360"/>
        </w:tabs>
        <w:spacing w:line="360" w:lineRule="auto"/>
        <w:ind w:left="360"/>
        <w:jc w:val="both"/>
        <w:rPr>
          <w:rFonts w:ascii="Arial" w:hAnsi="Arial" w:cs="Arial"/>
          <w:sz w:val="22"/>
          <w:szCs w:val="22"/>
        </w:rPr>
      </w:pPr>
      <w:r w:rsidRPr="00B1460D">
        <w:rPr>
          <w:rFonts w:ascii="Arial" w:hAnsi="Arial" w:cs="Arial"/>
          <w:sz w:val="22"/>
          <w:szCs w:val="22"/>
        </w:rPr>
        <w:t xml:space="preserve">Smluvní </w:t>
      </w:r>
      <w:r w:rsidR="00AA72EE" w:rsidRPr="00B1460D">
        <w:rPr>
          <w:rFonts w:ascii="Arial" w:hAnsi="Arial" w:cs="Arial"/>
          <w:sz w:val="22"/>
          <w:szCs w:val="22"/>
        </w:rPr>
        <w:t xml:space="preserve">vztah založený touto veřejnoprávní smlouvou se řídí příslušnými ustanoveními zákona č. 500/2004 Sb., správní řád, ve znění pozdějších předpisů se subsidiárním použitím zákona č. 89/2012 Sb., občanský zákoník ve znění pozdějších předpisů. </w:t>
      </w:r>
    </w:p>
    <w:p w:rsidR="008F3030" w:rsidRPr="00B1460D" w:rsidRDefault="008F3030" w:rsidP="008F3030">
      <w:pPr>
        <w:widowControl w:val="0"/>
        <w:spacing w:line="360" w:lineRule="auto"/>
        <w:jc w:val="both"/>
        <w:rPr>
          <w:rFonts w:ascii="Arial" w:hAnsi="Arial" w:cs="Arial"/>
          <w:sz w:val="22"/>
          <w:szCs w:val="22"/>
        </w:rPr>
      </w:pPr>
    </w:p>
    <w:p w:rsidR="008F3030" w:rsidRPr="00B1460D" w:rsidRDefault="008F3030" w:rsidP="008F3030">
      <w:pPr>
        <w:widowControl w:val="0"/>
        <w:numPr>
          <w:ilvl w:val="0"/>
          <w:numId w:val="23"/>
        </w:numPr>
        <w:tabs>
          <w:tab w:val="clear" w:pos="720"/>
          <w:tab w:val="num" w:pos="360"/>
        </w:tabs>
        <w:spacing w:line="360" w:lineRule="auto"/>
        <w:ind w:left="360"/>
        <w:jc w:val="both"/>
        <w:rPr>
          <w:rFonts w:ascii="Arial" w:hAnsi="Arial" w:cs="Arial"/>
          <w:snapToGrid w:val="0"/>
          <w:sz w:val="22"/>
          <w:szCs w:val="22"/>
        </w:rPr>
      </w:pPr>
      <w:r w:rsidRPr="00B1460D">
        <w:rPr>
          <w:rFonts w:ascii="Arial" w:hAnsi="Arial" w:cs="Arial"/>
          <w:snapToGrid w:val="0"/>
          <w:sz w:val="22"/>
          <w:szCs w:val="22"/>
        </w:rPr>
        <w:t>Příjemce se zavazuje řídit se při realizaci projektu</w:t>
      </w:r>
      <w:r w:rsidRPr="00B1460D">
        <w:rPr>
          <w:rFonts w:ascii="Arial" w:hAnsi="Arial" w:cs="Arial"/>
          <w:sz w:val="22"/>
          <w:szCs w:val="22"/>
        </w:rPr>
        <w:t xml:space="preserve"> ROP JV, Prováděcím dokumentem ROP JV, </w:t>
      </w:r>
      <w:r w:rsidR="00C65FDE" w:rsidRPr="00B1460D">
        <w:rPr>
          <w:rFonts w:ascii="Arial" w:hAnsi="Arial" w:cs="Arial"/>
          <w:sz w:val="22"/>
          <w:szCs w:val="22"/>
        </w:rPr>
        <w:t xml:space="preserve">Výzvou k předkládání projektů vyhlášenou dne </w:t>
      </w:r>
      <w:r w:rsidR="004F248A" w:rsidRPr="00B1460D">
        <w:rPr>
          <w:rFonts w:ascii="Arial" w:hAnsi="Arial" w:cs="Arial"/>
          <w:sz w:val="22"/>
          <w:szCs w:val="22"/>
        </w:rPr>
        <w:t>28.</w:t>
      </w:r>
      <w:r w:rsidR="00086F89" w:rsidRPr="00B1460D">
        <w:rPr>
          <w:rFonts w:ascii="Arial" w:hAnsi="Arial" w:cs="Arial"/>
          <w:sz w:val="22"/>
          <w:szCs w:val="22"/>
        </w:rPr>
        <w:t xml:space="preserve"> </w:t>
      </w:r>
      <w:r w:rsidR="004F248A" w:rsidRPr="00B1460D">
        <w:rPr>
          <w:rFonts w:ascii="Arial" w:hAnsi="Arial" w:cs="Arial"/>
          <w:sz w:val="22"/>
          <w:szCs w:val="22"/>
        </w:rPr>
        <w:t>6.</w:t>
      </w:r>
      <w:r w:rsidR="00086F89" w:rsidRPr="00B1460D">
        <w:rPr>
          <w:rFonts w:ascii="Arial" w:hAnsi="Arial" w:cs="Arial"/>
          <w:sz w:val="22"/>
          <w:szCs w:val="22"/>
        </w:rPr>
        <w:t xml:space="preserve"> </w:t>
      </w:r>
      <w:r w:rsidR="004F248A" w:rsidRPr="00B1460D">
        <w:rPr>
          <w:rFonts w:ascii="Arial" w:hAnsi="Arial" w:cs="Arial"/>
          <w:sz w:val="22"/>
          <w:szCs w:val="22"/>
        </w:rPr>
        <w:t xml:space="preserve">2013, </w:t>
      </w:r>
      <w:r w:rsidRPr="00B1460D">
        <w:rPr>
          <w:rFonts w:ascii="Arial" w:hAnsi="Arial" w:cs="Arial"/>
          <w:sz w:val="22"/>
          <w:szCs w:val="22"/>
        </w:rPr>
        <w:t>Příručkou pro žadatele a příjemce ROP NUTS 2 Jihovýchod</w:t>
      </w:r>
      <w:r w:rsidR="00BA66FD" w:rsidRPr="00B1460D">
        <w:rPr>
          <w:rFonts w:ascii="Arial" w:hAnsi="Arial" w:cs="Arial"/>
          <w:sz w:val="22"/>
          <w:szCs w:val="22"/>
        </w:rPr>
        <w:t xml:space="preserve"> (verze </w:t>
      </w:r>
      <w:r w:rsidR="00A7770B" w:rsidRPr="00B1460D">
        <w:rPr>
          <w:rFonts w:ascii="Arial" w:hAnsi="Arial" w:cs="Arial"/>
          <w:sz w:val="22"/>
          <w:szCs w:val="22"/>
        </w:rPr>
        <w:t>1.34</w:t>
      </w:r>
      <w:r w:rsidR="00BA66FD" w:rsidRPr="00B1460D">
        <w:rPr>
          <w:rFonts w:ascii="Arial" w:hAnsi="Arial" w:cs="Arial"/>
          <w:sz w:val="22"/>
          <w:szCs w:val="22"/>
        </w:rPr>
        <w:t>)</w:t>
      </w:r>
      <w:r w:rsidRPr="00B1460D">
        <w:rPr>
          <w:rFonts w:ascii="Arial" w:hAnsi="Arial" w:cs="Arial"/>
          <w:sz w:val="22"/>
          <w:szCs w:val="22"/>
        </w:rPr>
        <w:t xml:space="preserve">, </w:t>
      </w:r>
      <w:r w:rsidR="00A7770B" w:rsidRPr="00B1460D">
        <w:rPr>
          <w:rFonts w:ascii="Arial" w:hAnsi="Arial" w:cs="Arial"/>
          <w:sz w:val="22"/>
          <w:szCs w:val="22"/>
        </w:rPr>
        <w:t xml:space="preserve">Pravidly pro publicitu </w:t>
      </w:r>
      <w:r w:rsidRPr="00B1460D">
        <w:rPr>
          <w:rFonts w:ascii="Arial" w:hAnsi="Arial" w:cs="Arial"/>
          <w:sz w:val="22"/>
          <w:szCs w:val="22"/>
        </w:rPr>
        <w:t>ROP JV</w:t>
      </w:r>
      <w:r w:rsidR="00BA66FD" w:rsidRPr="00B1460D">
        <w:rPr>
          <w:rFonts w:ascii="Arial" w:hAnsi="Arial" w:cs="Arial"/>
          <w:sz w:val="22"/>
          <w:szCs w:val="22"/>
        </w:rPr>
        <w:t xml:space="preserve"> (verze</w:t>
      </w:r>
      <w:r w:rsidR="00A7770B" w:rsidRPr="00B1460D">
        <w:rPr>
          <w:rFonts w:ascii="Arial" w:hAnsi="Arial" w:cs="Arial"/>
          <w:sz w:val="22"/>
          <w:szCs w:val="22"/>
        </w:rPr>
        <w:t xml:space="preserve"> 1.7</w:t>
      </w:r>
      <w:r w:rsidR="00BA66FD" w:rsidRPr="00B1460D">
        <w:rPr>
          <w:rFonts w:ascii="Arial" w:hAnsi="Arial" w:cs="Arial"/>
          <w:sz w:val="22"/>
          <w:szCs w:val="22"/>
        </w:rPr>
        <w:t>)</w:t>
      </w:r>
      <w:r w:rsidRPr="00B1460D">
        <w:rPr>
          <w:rFonts w:ascii="Arial" w:hAnsi="Arial" w:cs="Arial"/>
          <w:sz w:val="22"/>
          <w:szCs w:val="22"/>
        </w:rPr>
        <w:t xml:space="preserve"> a Metodickými pokyny poskytovatele k dané výzvě</w:t>
      </w:r>
      <w:r w:rsidR="00BA66FD" w:rsidRPr="00B1460D">
        <w:rPr>
          <w:rFonts w:ascii="Arial" w:hAnsi="Arial" w:cs="Arial"/>
          <w:sz w:val="22"/>
          <w:szCs w:val="22"/>
        </w:rPr>
        <w:t xml:space="preserve">, jež jsou zveřejněny na internetových stránkách poskytovatele dotace </w:t>
      </w:r>
      <w:hyperlink r:id="rId12" w:history="1">
        <w:r w:rsidR="00BA66FD" w:rsidRPr="00B1460D">
          <w:rPr>
            <w:rStyle w:val="Hypertextovodkaz"/>
            <w:rFonts w:ascii="Arial" w:hAnsi="Arial" w:cs="Arial"/>
            <w:color w:val="auto"/>
            <w:sz w:val="22"/>
            <w:szCs w:val="22"/>
          </w:rPr>
          <w:t>www.jihovychod.cz</w:t>
        </w:r>
      </w:hyperlink>
      <w:r w:rsidR="00BA66FD" w:rsidRPr="00B1460D">
        <w:rPr>
          <w:rFonts w:ascii="Arial" w:hAnsi="Arial" w:cs="Arial"/>
          <w:sz w:val="22"/>
          <w:szCs w:val="22"/>
        </w:rPr>
        <w:t xml:space="preserve"> </w:t>
      </w:r>
      <w:r w:rsidRPr="00B1460D">
        <w:rPr>
          <w:rFonts w:ascii="Arial" w:hAnsi="Arial" w:cs="Arial"/>
          <w:sz w:val="22"/>
          <w:szCs w:val="22"/>
        </w:rPr>
        <w:t xml:space="preserve">. </w:t>
      </w:r>
      <w:r w:rsidR="00BA66FD" w:rsidRPr="00B1460D">
        <w:rPr>
          <w:rFonts w:ascii="Arial" w:hAnsi="Arial" w:cs="Arial"/>
          <w:sz w:val="22"/>
          <w:szCs w:val="22"/>
        </w:rPr>
        <w:t xml:space="preserve">Příjemce podpisem této smlouvy stvrzuje, že byl s těmito dokumenty seznámen a </w:t>
      </w:r>
      <w:r w:rsidR="006D7199" w:rsidRPr="00B1460D">
        <w:rPr>
          <w:rFonts w:ascii="Arial" w:hAnsi="Arial" w:cs="Arial"/>
          <w:sz w:val="22"/>
          <w:szCs w:val="22"/>
        </w:rPr>
        <w:t>zavazuje</w:t>
      </w:r>
      <w:r w:rsidR="00BA66FD" w:rsidRPr="00B1460D">
        <w:rPr>
          <w:rFonts w:ascii="Arial" w:hAnsi="Arial" w:cs="Arial"/>
          <w:sz w:val="22"/>
          <w:szCs w:val="22"/>
        </w:rPr>
        <w:t xml:space="preserve"> se jimi řídit</w:t>
      </w:r>
      <w:r w:rsidR="001918D0" w:rsidRPr="00B1460D">
        <w:rPr>
          <w:rFonts w:ascii="Arial" w:hAnsi="Arial" w:cs="Arial"/>
          <w:sz w:val="22"/>
          <w:szCs w:val="22"/>
        </w:rPr>
        <w:t>. Příjemce prohlašuje, že veškeré právní jednání, které učinil před uzavřením této smlouvy, bylo prováděno v souladu s předpisy dle věty první, s jejichž obsahem byl seznámen, a je si vědom následků nepravdivého prohlášení.</w:t>
      </w:r>
      <w:r w:rsidR="00BA66FD" w:rsidRPr="00B1460D">
        <w:rPr>
          <w:rFonts w:ascii="Arial" w:hAnsi="Arial" w:cs="Arial"/>
          <w:sz w:val="22"/>
          <w:szCs w:val="22"/>
        </w:rPr>
        <w:t xml:space="preserve"> </w:t>
      </w:r>
      <w:r w:rsidRPr="00B1460D">
        <w:rPr>
          <w:rFonts w:ascii="Arial" w:hAnsi="Arial" w:cs="Arial"/>
          <w:snapToGrid w:val="0"/>
          <w:sz w:val="22"/>
          <w:szCs w:val="22"/>
        </w:rPr>
        <w:t>V případě rozporu mezi těmito dokumenty a touto smlouvou platí ustanovení ve smlouvě. V případě vydání metodických pokynů vztahujících se k dané výzvě, je příjemce povinen se těmito pokyny řídit od data jejich zveřejnění, pokud o nich bude poskytovatelem písemně vyrozuměn. Smluvní strany se dohodly, že za písemné vyrozumění se považuje také e-mailová zpráva.</w:t>
      </w:r>
      <w:r w:rsidR="00B80565" w:rsidRPr="00B1460D">
        <w:rPr>
          <w:rFonts w:ascii="Arial" w:hAnsi="Arial" w:cs="Arial"/>
          <w:snapToGrid w:val="0"/>
          <w:sz w:val="22"/>
          <w:szCs w:val="22"/>
        </w:rPr>
        <w:t xml:space="preserve"> Příjemce je oprávněn odmítnout jednostranné změny smlouvy učiněné formou vydání metodických pokynů ze strany poskytovatele a to písemnou formou doručenou ve lhůtě 15 </w:t>
      </w:r>
      <w:r w:rsidR="00AE70BD" w:rsidRPr="00B1460D">
        <w:rPr>
          <w:rFonts w:ascii="Arial" w:hAnsi="Arial" w:cs="Arial"/>
          <w:snapToGrid w:val="0"/>
          <w:sz w:val="22"/>
          <w:szCs w:val="22"/>
        </w:rPr>
        <w:t xml:space="preserve">dnů </w:t>
      </w:r>
      <w:r w:rsidR="00B80565" w:rsidRPr="00B1460D">
        <w:rPr>
          <w:rFonts w:ascii="Arial" w:hAnsi="Arial" w:cs="Arial"/>
          <w:snapToGrid w:val="0"/>
          <w:sz w:val="22"/>
          <w:szCs w:val="22"/>
        </w:rPr>
        <w:t>od vyrozumění. Takovéto odmítnutí zakládá oběma smluvním stranám právo smlouvu vypovědět.</w:t>
      </w:r>
    </w:p>
    <w:p w:rsidR="008F3030" w:rsidRPr="00B1460D" w:rsidRDefault="008F3030" w:rsidP="008F3030">
      <w:pPr>
        <w:widowControl w:val="0"/>
        <w:spacing w:line="360" w:lineRule="auto"/>
        <w:ind w:left="360"/>
        <w:jc w:val="both"/>
        <w:rPr>
          <w:rFonts w:ascii="Arial" w:hAnsi="Arial" w:cs="Arial"/>
          <w:snapToGrid w:val="0"/>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napToGrid w:val="0"/>
          <w:sz w:val="22"/>
          <w:szCs w:val="22"/>
        </w:rPr>
      </w:pPr>
      <w:r w:rsidRPr="00B1460D">
        <w:rPr>
          <w:rFonts w:ascii="Arial" w:hAnsi="Arial" w:cs="Arial"/>
          <w:sz w:val="22"/>
          <w:szCs w:val="22"/>
        </w:rPr>
        <w:t>Veškeré platby poskytovateli provede příjemce formou bezhotovostního převodu na účet po</w:t>
      </w:r>
      <w:r w:rsidRPr="00B1460D">
        <w:rPr>
          <w:rFonts w:ascii="Arial" w:hAnsi="Arial" w:cs="Arial"/>
          <w:snapToGrid w:val="0"/>
          <w:sz w:val="22"/>
          <w:szCs w:val="22"/>
        </w:rPr>
        <w:t>skytovatele, jehož číslo poskytovatel v tomto případě příjemci sdělí.</w:t>
      </w:r>
    </w:p>
    <w:p w:rsidR="008F3030" w:rsidRPr="00B1460D" w:rsidRDefault="008F3030" w:rsidP="008F3030">
      <w:pPr>
        <w:widowControl w:val="0"/>
        <w:spacing w:line="360" w:lineRule="auto"/>
        <w:jc w:val="both"/>
        <w:rPr>
          <w:rFonts w:ascii="Arial" w:hAnsi="Arial" w:cs="Arial"/>
          <w:snapToGrid w:val="0"/>
          <w:sz w:val="22"/>
          <w:szCs w:val="22"/>
        </w:rPr>
      </w:pPr>
    </w:p>
    <w:p w:rsidR="008F3030" w:rsidRPr="00B1460D" w:rsidRDefault="008F3030" w:rsidP="008F3030">
      <w:pPr>
        <w:pStyle w:val="p1"/>
        <w:numPr>
          <w:ilvl w:val="0"/>
          <w:numId w:val="23"/>
        </w:numPr>
        <w:tabs>
          <w:tab w:val="clear" w:pos="720"/>
          <w:tab w:val="num" w:pos="360"/>
        </w:tabs>
        <w:adjustRightInd/>
        <w:spacing w:line="360" w:lineRule="auto"/>
        <w:ind w:left="360"/>
        <w:textAlignment w:val="auto"/>
        <w:rPr>
          <w:rFonts w:ascii="Arial" w:hAnsi="Arial" w:cs="Arial"/>
          <w:snapToGrid w:val="0"/>
          <w:sz w:val="22"/>
          <w:szCs w:val="22"/>
        </w:rPr>
      </w:pPr>
      <w:r w:rsidRPr="00B1460D">
        <w:rPr>
          <w:rFonts w:ascii="Arial" w:hAnsi="Arial" w:cs="Arial"/>
          <w:snapToGrid w:val="0"/>
          <w:sz w:val="22"/>
          <w:szCs w:val="22"/>
        </w:rPr>
        <w:t xml:space="preserve">Na poskytnutí dotace není právní nárok. Poskytovatel si vyhrazuje právo </w:t>
      </w:r>
      <w:r w:rsidR="002C3249" w:rsidRPr="00B1460D">
        <w:rPr>
          <w:rFonts w:ascii="Arial" w:hAnsi="Arial" w:cs="Arial"/>
          <w:snapToGrid w:val="0"/>
          <w:sz w:val="22"/>
          <w:szCs w:val="22"/>
        </w:rPr>
        <w:t>neproplatit</w:t>
      </w:r>
      <w:r w:rsidRPr="00B1460D">
        <w:rPr>
          <w:rFonts w:ascii="Arial" w:hAnsi="Arial" w:cs="Arial"/>
          <w:snapToGrid w:val="0"/>
          <w:sz w:val="22"/>
          <w:szCs w:val="22"/>
        </w:rPr>
        <w:t xml:space="preserve"> </w:t>
      </w:r>
      <w:r w:rsidR="002C3249" w:rsidRPr="00B1460D">
        <w:rPr>
          <w:rFonts w:ascii="Arial" w:hAnsi="Arial" w:cs="Arial"/>
          <w:snapToGrid w:val="0"/>
          <w:sz w:val="22"/>
          <w:szCs w:val="22"/>
        </w:rPr>
        <w:t>takové výdaje</w:t>
      </w:r>
      <w:r w:rsidRPr="00B1460D">
        <w:rPr>
          <w:rFonts w:ascii="Arial" w:hAnsi="Arial" w:cs="Arial"/>
          <w:snapToGrid w:val="0"/>
          <w:sz w:val="22"/>
          <w:szCs w:val="22"/>
        </w:rPr>
        <w:t>, které nejsou v souladu se způsobilými výdaji definovanými v Příručce pro žadatele a příjemce ROP JV nebo jiných materiálech závazných pro implementaci ROP JV.</w:t>
      </w:r>
    </w:p>
    <w:p w:rsidR="008F3030" w:rsidRPr="00B1460D" w:rsidRDefault="008F3030" w:rsidP="008F3030">
      <w:pPr>
        <w:pStyle w:val="p1"/>
        <w:numPr>
          <w:ilvl w:val="0"/>
          <w:numId w:val="0"/>
        </w:numPr>
        <w:adjustRightInd/>
        <w:spacing w:line="360" w:lineRule="auto"/>
        <w:textAlignment w:val="auto"/>
        <w:rPr>
          <w:rFonts w:ascii="Arial" w:hAnsi="Arial" w:cs="Arial"/>
          <w:snapToGrid w:val="0"/>
          <w:sz w:val="22"/>
          <w:szCs w:val="22"/>
        </w:rPr>
      </w:pPr>
    </w:p>
    <w:p w:rsidR="008F3030" w:rsidRPr="00B1460D" w:rsidRDefault="008F3030" w:rsidP="008F3030">
      <w:pPr>
        <w:pStyle w:val="p1"/>
        <w:numPr>
          <w:ilvl w:val="0"/>
          <w:numId w:val="23"/>
        </w:numPr>
        <w:tabs>
          <w:tab w:val="clear" w:pos="720"/>
          <w:tab w:val="num" w:pos="360"/>
        </w:tabs>
        <w:adjustRightInd/>
        <w:spacing w:line="360" w:lineRule="auto"/>
        <w:ind w:left="360"/>
        <w:textAlignment w:val="auto"/>
        <w:rPr>
          <w:rFonts w:ascii="Arial" w:hAnsi="Arial" w:cs="Arial"/>
          <w:snapToGrid w:val="0"/>
          <w:sz w:val="22"/>
          <w:szCs w:val="22"/>
        </w:rPr>
      </w:pPr>
      <w:r w:rsidRPr="00B1460D">
        <w:rPr>
          <w:rFonts w:ascii="Arial" w:hAnsi="Arial" w:cs="Arial"/>
          <w:snapToGrid w:val="0"/>
          <w:sz w:val="22"/>
          <w:szCs w:val="22"/>
        </w:rPr>
        <w:t xml:space="preserve">Příjemce je povinen hradit </w:t>
      </w:r>
      <w:r w:rsidR="002C3249" w:rsidRPr="00B1460D">
        <w:rPr>
          <w:rFonts w:ascii="Arial" w:hAnsi="Arial" w:cs="Arial"/>
          <w:snapToGrid w:val="0"/>
          <w:sz w:val="22"/>
          <w:szCs w:val="22"/>
        </w:rPr>
        <w:t>nezpůsobilé</w:t>
      </w:r>
      <w:r w:rsidRPr="00B1460D">
        <w:rPr>
          <w:rFonts w:ascii="Arial" w:hAnsi="Arial" w:cs="Arial"/>
          <w:snapToGrid w:val="0"/>
          <w:sz w:val="22"/>
          <w:szCs w:val="22"/>
        </w:rPr>
        <w:t xml:space="preserve"> výdaje či výdaje, které jsou nad rámec rozpočtu projektu, z vlastních zdrojů.</w:t>
      </w:r>
      <w:r w:rsidR="002C3249" w:rsidRPr="00B1460D">
        <w:rPr>
          <w:rFonts w:ascii="Arial" w:hAnsi="Arial" w:cs="Arial"/>
          <w:snapToGrid w:val="0"/>
          <w:sz w:val="22"/>
          <w:szCs w:val="22"/>
        </w:rPr>
        <w:t xml:space="preserve"> Z vlastních zdrojů rovněž hradí </w:t>
      </w:r>
      <w:r w:rsidR="006D7199" w:rsidRPr="00B1460D">
        <w:rPr>
          <w:rFonts w:ascii="Arial" w:hAnsi="Arial" w:cs="Arial"/>
          <w:snapToGrid w:val="0"/>
          <w:sz w:val="22"/>
          <w:szCs w:val="22"/>
        </w:rPr>
        <w:t>finanční částku, která odpovídá podílu v</w:t>
      </w:r>
      <w:r w:rsidR="002C3249" w:rsidRPr="00B1460D">
        <w:rPr>
          <w:rFonts w:ascii="Arial" w:hAnsi="Arial" w:cs="Arial"/>
          <w:snapToGrid w:val="0"/>
          <w:sz w:val="22"/>
          <w:szCs w:val="22"/>
        </w:rPr>
        <w:t>lastní</w:t>
      </w:r>
      <w:r w:rsidR="006D7199" w:rsidRPr="00B1460D">
        <w:rPr>
          <w:rFonts w:ascii="Arial" w:hAnsi="Arial" w:cs="Arial"/>
          <w:snapToGrid w:val="0"/>
          <w:sz w:val="22"/>
          <w:szCs w:val="22"/>
        </w:rPr>
        <w:t>ho</w:t>
      </w:r>
      <w:r w:rsidR="002C3249" w:rsidRPr="00B1460D">
        <w:rPr>
          <w:rFonts w:ascii="Arial" w:hAnsi="Arial" w:cs="Arial"/>
          <w:snapToGrid w:val="0"/>
          <w:sz w:val="22"/>
          <w:szCs w:val="22"/>
        </w:rPr>
        <w:t xml:space="preserve"> spolufinancování</w:t>
      </w:r>
      <w:r w:rsidR="006D7199" w:rsidRPr="00B1460D">
        <w:rPr>
          <w:rFonts w:ascii="Arial" w:hAnsi="Arial" w:cs="Arial"/>
          <w:snapToGrid w:val="0"/>
          <w:sz w:val="22"/>
          <w:szCs w:val="22"/>
        </w:rPr>
        <w:t xml:space="preserve"> projektu.</w:t>
      </w:r>
    </w:p>
    <w:p w:rsidR="007C61FA" w:rsidRPr="00B1460D" w:rsidRDefault="007C61FA" w:rsidP="00764F26">
      <w:pPr>
        <w:pStyle w:val="p1"/>
        <w:numPr>
          <w:ilvl w:val="0"/>
          <w:numId w:val="0"/>
        </w:numPr>
        <w:adjustRightInd/>
        <w:spacing w:line="360" w:lineRule="auto"/>
        <w:ind w:left="360"/>
        <w:textAlignment w:val="auto"/>
        <w:rPr>
          <w:rFonts w:ascii="Arial" w:hAnsi="Arial" w:cs="Arial"/>
          <w:snapToGrid w:val="0"/>
          <w:sz w:val="22"/>
          <w:szCs w:val="22"/>
        </w:rPr>
      </w:pPr>
    </w:p>
    <w:p w:rsidR="008F3030" w:rsidRPr="00B1460D" w:rsidRDefault="008F3030" w:rsidP="008F3030">
      <w:pPr>
        <w:pStyle w:val="p1"/>
        <w:numPr>
          <w:ilvl w:val="0"/>
          <w:numId w:val="23"/>
        </w:numPr>
        <w:tabs>
          <w:tab w:val="clear" w:pos="720"/>
          <w:tab w:val="num" w:pos="360"/>
        </w:tabs>
        <w:adjustRightInd/>
        <w:spacing w:line="360" w:lineRule="auto"/>
        <w:ind w:left="360"/>
        <w:textAlignment w:val="auto"/>
        <w:rPr>
          <w:rFonts w:ascii="Arial" w:hAnsi="Arial" w:cs="Arial"/>
          <w:snapToGrid w:val="0"/>
          <w:sz w:val="22"/>
          <w:szCs w:val="22"/>
        </w:rPr>
      </w:pPr>
      <w:r w:rsidRPr="00B1460D">
        <w:rPr>
          <w:rFonts w:ascii="Arial" w:hAnsi="Arial" w:cs="Arial"/>
          <w:snapToGrid w:val="0"/>
          <w:sz w:val="22"/>
          <w:szCs w:val="22"/>
        </w:rPr>
        <w:t>Příjemce nemá nárok na vyplacení dotace, pokud bude Evropskou komisí z jakýchkoliv důvodů zastaveno nebo přerušeno financování ROP JV jako celku.</w:t>
      </w:r>
    </w:p>
    <w:p w:rsidR="008F3030" w:rsidRPr="00B1460D" w:rsidRDefault="008F3030" w:rsidP="008F3030">
      <w:pPr>
        <w:pStyle w:val="p1"/>
        <w:numPr>
          <w:ilvl w:val="0"/>
          <w:numId w:val="0"/>
        </w:numPr>
        <w:adjustRightInd/>
        <w:spacing w:line="360" w:lineRule="auto"/>
        <w:ind w:left="360"/>
        <w:textAlignment w:val="auto"/>
        <w:rPr>
          <w:rFonts w:ascii="Arial" w:hAnsi="Arial" w:cs="Arial"/>
          <w:snapToGrid w:val="0"/>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Vzhledem k veřejnoprávnímu charakteru poskytovatele příjemce souhlasí se zveřejněním údajů podle zákona č. 106/1999 Sb., o svobodném přístupu k informacím, ve znění pozdějších předpisů a zákona č. 101/2000 Sb., o ochraně osobních údajů a o změně některých zákonů, ve znění pozdějších předpisů, a v souladu s článkem 7 odst. 2</w:t>
      </w:r>
      <w:r w:rsidR="00512A1B" w:rsidRPr="00B1460D">
        <w:rPr>
          <w:rFonts w:ascii="Arial" w:hAnsi="Arial" w:cs="Arial"/>
          <w:sz w:val="22"/>
          <w:szCs w:val="22"/>
          <w:lang w:val="cs-CZ"/>
        </w:rPr>
        <w:t xml:space="preserve"> písm. </w:t>
      </w:r>
      <w:r w:rsidRPr="00B1460D">
        <w:rPr>
          <w:rFonts w:ascii="Arial" w:hAnsi="Arial" w:cs="Arial"/>
          <w:sz w:val="22"/>
          <w:szCs w:val="22"/>
        </w:rPr>
        <w:t>d</w:t>
      </w:r>
      <w:r w:rsidR="00512A1B" w:rsidRPr="00B1460D">
        <w:rPr>
          <w:rFonts w:ascii="Arial" w:hAnsi="Arial" w:cs="Arial"/>
          <w:sz w:val="22"/>
          <w:szCs w:val="22"/>
          <w:lang w:val="cs-CZ"/>
        </w:rPr>
        <w:t>)</w:t>
      </w:r>
      <w:r w:rsidRPr="00B1460D">
        <w:rPr>
          <w:rFonts w:ascii="Arial" w:hAnsi="Arial" w:cs="Arial"/>
          <w:sz w:val="22"/>
          <w:szCs w:val="22"/>
        </w:rPr>
        <w:t xml:space="preserve"> Nařízení komise (ES) č. 1828/2006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8F3030" w:rsidRPr="00B1460D" w:rsidRDefault="008F3030" w:rsidP="008F3030">
      <w:pPr>
        <w:pStyle w:val="Zkladntext3"/>
        <w:spacing w:after="0" w:line="360" w:lineRule="auto"/>
        <w:jc w:val="both"/>
        <w:rPr>
          <w:rFonts w:ascii="Arial" w:hAnsi="Arial" w:cs="Arial"/>
          <w:sz w:val="22"/>
          <w:szCs w:val="22"/>
        </w:rPr>
      </w:pPr>
    </w:p>
    <w:p w:rsidR="008F3030" w:rsidRPr="00B1460D" w:rsidRDefault="008F3030" w:rsidP="008F3030">
      <w:pPr>
        <w:pStyle w:val="Zkladntext3"/>
        <w:numPr>
          <w:ilvl w:val="0"/>
          <w:numId w:val="23"/>
        </w:numPr>
        <w:tabs>
          <w:tab w:val="clear" w:pos="720"/>
          <w:tab w:val="num" w:pos="360"/>
        </w:tabs>
        <w:spacing w:line="360" w:lineRule="auto"/>
        <w:ind w:left="360"/>
        <w:jc w:val="both"/>
        <w:rPr>
          <w:rFonts w:ascii="Arial" w:hAnsi="Arial" w:cs="Arial"/>
          <w:sz w:val="22"/>
          <w:szCs w:val="22"/>
        </w:rPr>
      </w:pPr>
      <w:r w:rsidRPr="00B1460D">
        <w:rPr>
          <w:rFonts w:ascii="Arial" w:hAnsi="Arial" w:cs="Arial"/>
          <w:sz w:val="22"/>
          <w:szCs w:val="22"/>
        </w:rPr>
        <w:t>Poskytovatel se zavazuje, že obchodní a technické informace, které mu byly svěřeny příjemcem v souvislosti s touto smlouvou, nezpřístupní třetím osobám bez písemného souhlasu příjemce.</w:t>
      </w:r>
    </w:p>
    <w:p w:rsidR="008F3030" w:rsidRPr="00B1460D" w:rsidRDefault="008F3030" w:rsidP="008F3030">
      <w:pPr>
        <w:pStyle w:val="Odstavecseseznamem"/>
        <w:rPr>
          <w:rFonts w:ascii="Arial" w:hAnsi="Arial" w:cs="Arial"/>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Příjemce souhlasí se zpracováváním svých osobních údajů, které sdělil poskytovateli, v souladu s příslušnými ustanoveními zákona č. 101/2000 Sb., o ochraně osobních údajů a 123/1998 Sb. o právu na informace o životním prostředí,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deseti let následujících po ukončení realizace projektu. Příjemce má právo přístupu ke svým osobním údajům, právo na opravu nepřesných osobních údajů a právo na ochranu svého soukromého a osobního života. Dále má právo požádat o vysvětlení a případně o odstranění stavu, který je v rozporu s ochranou soukromého a osobního života dle §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8F3030" w:rsidRPr="00B1460D" w:rsidRDefault="008F3030" w:rsidP="008F3030">
      <w:pPr>
        <w:pStyle w:val="Zkladntext3"/>
        <w:spacing w:line="360" w:lineRule="auto"/>
        <w:rPr>
          <w:rFonts w:ascii="Arial" w:hAnsi="Arial" w:cs="Arial"/>
          <w:sz w:val="22"/>
          <w:szCs w:val="22"/>
        </w:rPr>
      </w:pPr>
    </w:p>
    <w:p w:rsidR="008F3030" w:rsidRPr="00B1460D" w:rsidRDefault="008F3030" w:rsidP="00B1460D">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Tuto smlouvu lze měnit pouze na základě dohody smluvních stran ve formě písemných postupně číslovaných dodatků podepsaných oprávněnými zástupci obou smluvních stran.</w:t>
      </w:r>
      <w:r w:rsidR="004F248A" w:rsidRPr="00B1460D">
        <w:rPr>
          <w:rFonts w:ascii="Arial" w:hAnsi="Arial" w:cs="Arial"/>
          <w:sz w:val="22"/>
          <w:szCs w:val="22"/>
        </w:rPr>
        <w:t xml:space="preserve"> Smluvní strany se dohodly, že uzavřou dodatek k této smlouvě za účelem </w:t>
      </w:r>
      <w:r w:rsidR="00B30E11" w:rsidRPr="00B1460D">
        <w:rPr>
          <w:rFonts w:ascii="Arial" w:hAnsi="Arial" w:cs="Arial"/>
          <w:sz w:val="22"/>
          <w:szCs w:val="22"/>
        </w:rPr>
        <w:t>úpravy otázky finančních oprav prováděných v souvislosti s přijetím rozhodnutí Evropské komise ze dne 19. prosince 2013</w:t>
      </w:r>
      <w:r w:rsidR="009A6F6E" w:rsidRPr="00B1460D">
        <w:rPr>
          <w:rFonts w:ascii="Arial" w:hAnsi="Arial" w:cs="Arial"/>
          <w:sz w:val="22"/>
          <w:szCs w:val="22"/>
        </w:rPr>
        <w:t>,</w:t>
      </w:r>
      <w:r w:rsidR="00B30E11" w:rsidRPr="00B1460D">
        <w:rPr>
          <w:rFonts w:ascii="Arial" w:hAnsi="Arial" w:cs="Arial"/>
          <w:sz w:val="22"/>
          <w:szCs w:val="22"/>
        </w:rPr>
        <w:t xml:space="preserve">  kterým se stanoví a schvalují pokyny ke stanovení finančních oprav, jež má Komise provést u výdajů financovaných Unií v rámci sdíleného řízení v případě nedodržení pravidel pro zadávání veřejných zakázek</w:t>
      </w:r>
      <w:r w:rsidR="00A27D06" w:rsidRPr="00B1460D">
        <w:rPr>
          <w:rFonts w:ascii="Arial" w:hAnsi="Arial" w:cs="Arial"/>
          <w:sz w:val="22"/>
          <w:szCs w:val="22"/>
          <w:lang w:val="cs-CZ"/>
        </w:rPr>
        <w:t>.</w:t>
      </w:r>
      <w:r w:rsidR="009A6F6E" w:rsidRPr="00B1460D">
        <w:rPr>
          <w:rFonts w:ascii="Arial" w:hAnsi="Arial" w:cs="Arial"/>
          <w:sz w:val="22"/>
          <w:szCs w:val="22"/>
        </w:rPr>
        <w:t xml:space="preserve"> </w:t>
      </w:r>
      <w:r w:rsidR="00A27D06" w:rsidRPr="00B1460D">
        <w:rPr>
          <w:rFonts w:ascii="Arial" w:hAnsi="Arial" w:cs="Arial"/>
          <w:sz w:val="22"/>
          <w:szCs w:val="22"/>
        </w:rPr>
        <w:t>Tento dodatek bude uzavřen v návaznosti na aktualizaci Závazných postupů pro zadávání zakázek spolufinancovaných ze zdrojů EU, nespadajících pod aplikaci zákona č. 137/2006 Sb., o veřejných zakázkách, v programovém období 2007-2013 Ministerstvem pro místní rozvoj a to tak, aby finanční opravy dle čl. VII odst. 4 této smlouvy a nižší odvody uklád</w:t>
      </w:r>
      <w:r w:rsidR="004C72DD" w:rsidRPr="00B1460D">
        <w:rPr>
          <w:rFonts w:ascii="Arial" w:hAnsi="Arial" w:cs="Arial"/>
          <w:sz w:val="22"/>
          <w:szCs w:val="22"/>
          <w:lang w:val="cs-CZ"/>
        </w:rPr>
        <w:t>a</w:t>
      </w:r>
      <w:r w:rsidR="00A27D06" w:rsidRPr="00B1460D">
        <w:rPr>
          <w:rFonts w:ascii="Arial" w:hAnsi="Arial" w:cs="Arial"/>
          <w:sz w:val="22"/>
          <w:szCs w:val="22"/>
        </w:rPr>
        <w:t>né dle čl. VII odst. 5 a Přílohy č. 1 této Smlouvy byly uvedeny do souladu.</w:t>
      </w:r>
    </w:p>
    <w:p w:rsidR="008F3030" w:rsidRPr="00B1460D" w:rsidRDefault="008F3030" w:rsidP="008F3030">
      <w:pPr>
        <w:pStyle w:val="Zkladntext3"/>
        <w:spacing w:after="0" w:line="360" w:lineRule="auto"/>
        <w:jc w:val="both"/>
        <w:rPr>
          <w:rFonts w:ascii="Arial" w:hAnsi="Arial" w:cs="Arial"/>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Tato smlouva byla zhotovena ve čtyřech vyhotoveních, z nichž každé má platnost originálu. Příjemce obdrží jeden exemplář, poskytovatel tři.</w:t>
      </w:r>
    </w:p>
    <w:p w:rsidR="008F3030" w:rsidRPr="00B1460D" w:rsidRDefault="008F3030" w:rsidP="008F3030">
      <w:pPr>
        <w:pStyle w:val="Zkladntext3"/>
        <w:spacing w:after="0" w:line="360" w:lineRule="auto"/>
        <w:jc w:val="both"/>
        <w:rPr>
          <w:rFonts w:ascii="Arial" w:hAnsi="Arial" w:cs="Arial"/>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Tato smlouva nabývá platnosti a účinnosti okamžikem podpisu oprávněnými zástupci obou smluvních stran.</w:t>
      </w:r>
    </w:p>
    <w:p w:rsidR="008F3030" w:rsidRPr="00B1460D" w:rsidRDefault="008F3030" w:rsidP="008F3030">
      <w:pPr>
        <w:pStyle w:val="Odstavecseseznamem"/>
        <w:rPr>
          <w:rFonts w:ascii="Arial" w:hAnsi="Arial" w:cs="Arial"/>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Tato smlouva nezaniká dnem finančního ukončení projektu, nýbrž dnem, kdy smluvní strany splní všechny povinnosti, které jim plynou z této smlouvy. Povinnosti, které trvají po datu finančního ukončení projektu jsou obsaženy zejména v čl. I bod 2 a 4, čl. V bod 5, 8, 9, 10, 12, 14, 15, 16 a 17 této smlouvy a v ustanoveních pravidel ROP a právních předpisů ČR a EU, které s těmito články souvisí.</w:t>
      </w:r>
    </w:p>
    <w:p w:rsidR="008F3030" w:rsidRPr="00B1460D" w:rsidRDefault="008F3030" w:rsidP="008F3030">
      <w:pPr>
        <w:pStyle w:val="Zkladntext3"/>
        <w:spacing w:after="0" w:line="360" w:lineRule="auto"/>
        <w:jc w:val="both"/>
        <w:rPr>
          <w:rFonts w:ascii="Arial" w:hAnsi="Arial" w:cs="Arial"/>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 xml:space="preserve">Nedílnou součástí vyhotovení této smlouvy určené pro příjemce je </w:t>
      </w:r>
      <w:r w:rsidR="00540C7A" w:rsidRPr="00B1460D">
        <w:rPr>
          <w:rFonts w:ascii="Arial" w:hAnsi="Arial" w:cs="Arial"/>
          <w:sz w:val="22"/>
          <w:szCs w:val="22"/>
          <w:lang w:val="cs-CZ"/>
        </w:rPr>
        <w:t xml:space="preserve">Příloha č. 1, </w:t>
      </w:r>
      <w:r w:rsidRPr="00B1460D">
        <w:rPr>
          <w:rFonts w:ascii="Arial" w:hAnsi="Arial" w:cs="Arial"/>
          <w:sz w:val="22"/>
          <w:szCs w:val="22"/>
        </w:rPr>
        <w:t>Harmonogram projektu, Rozpočet projektu a předpokládaný Finanční plán projektu v tištěné podobě.</w:t>
      </w:r>
    </w:p>
    <w:p w:rsidR="008F3030" w:rsidRPr="00B1460D" w:rsidRDefault="008F3030" w:rsidP="008F3030">
      <w:pPr>
        <w:pStyle w:val="Zkladntext3"/>
        <w:spacing w:after="0" w:line="360" w:lineRule="auto"/>
        <w:ind w:left="360"/>
        <w:jc w:val="both"/>
        <w:rPr>
          <w:rFonts w:ascii="Arial" w:hAnsi="Arial" w:cs="Arial"/>
          <w:sz w:val="22"/>
          <w:szCs w:val="22"/>
        </w:rPr>
      </w:pPr>
    </w:p>
    <w:p w:rsidR="008F3030" w:rsidRPr="00B1460D" w:rsidRDefault="008F3030" w:rsidP="008F3030">
      <w:pPr>
        <w:pStyle w:val="Zkladntext3"/>
        <w:numPr>
          <w:ilvl w:val="0"/>
          <w:numId w:val="23"/>
        </w:numPr>
        <w:tabs>
          <w:tab w:val="clear" w:pos="720"/>
          <w:tab w:val="num" w:pos="360"/>
        </w:tabs>
        <w:spacing w:after="0" w:line="360" w:lineRule="auto"/>
        <w:ind w:left="360"/>
        <w:jc w:val="both"/>
        <w:rPr>
          <w:rFonts w:ascii="Arial" w:hAnsi="Arial" w:cs="Arial"/>
          <w:sz w:val="22"/>
          <w:szCs w:val="22"/>
        </w:rPr>
      </w:pPr>
      <w:r w:rsidRPr="00B1460D">
        <w:rPr>
          <w:rFonts w:ascii="Arial" w:hAnsi="Arial" w:cs="Arial"/>
          <w:sz w:val="22"/>
          <w:szCs w:val="22"/>
        </w:rPr>
        <w:t>Příjemce prohlašuje, že se s ustanoveními této smlouvy včetně jejích příloh řádně seznámil, a zavazuje se, že se jimi bude řídit.</w:t>
      </w:r>
    </w:p>
    <w:p w:rsidR="008F3030" w:rsidRPr="00B1460D" w:rsidRDefault="008F3030" w:rsidP="008F3030">
      <w:pPr>
        <w:pStyle w:val="Zkladntext3"/>
        <w:spacing w:line="360" w:lineRule="auto"/>
        <w:jc w:val="both"/>
        <w:rPr>
          <w:rFonts w:ascii="Arial" w:hAnsi="Arial" w:cs="Arial"/>
          <w:sz w:val="22"/>
          <w:szCs w:val="22"/>
        </w:rPr>
      </w:pPr>
    </w:p>
    <w:p w:rsidR="008F3030" w:rsidRPr="00B1460D" w:rsidRDefault="00540C7A" w:rsidP="00B1460D">
      <w:pPr>
        <w:pStyle w:val="Zkladntext3"/>
        <w:spacing w:line="360" w:lineRule="auto"/>
        <w:ind w:left="426" w:hanging="426"/>
        <w:jc w:val="both"/>
        <w:rPr>
          <w:rFonts w:ascii="Arial" w:hAnsi="Arial" w:cs="Arial"/>
          <w:i/>
          <w:iCs/>
          <w:sz w:val="22"/>
          <w:szCs w:val="22"/>
          <w:lang w:val="cs-CZ"/>
        </w:rPr>
      </w:pPr>
      <w:r w:rsidRPr="00B1460D">
        <w:rPr>
          <w:rFonts w:ascii="Arial" w:hAnsi="Arial" w:cs="Arial"/>
          <w:sz w:val="22"/>
          <w:szCs w:val="22"/>
        </w:rPr>
        <w:t xml:space="preserve">16. </w:t>
      </w:r>
      <w:r w:rsidR="008F3030" w:rsidRPr="00B1460D">
        <w:rPr>
          <w:rFonts w:ascii="Arial" w:hAnsi="Arial" w:cs="Arial"/>
          <w:sz w:val="22"/>
          <w:szCs w:val="22"/>
        </w:rPr>
        <w:t xml:space="preserve">Tato smlouva byla projednána na jednání Rady </w:t>
      </w:r>
      <w:r w:rsidR="00692AA7" w:rsidRPr="00B1460D">
        <w:rPr>
          <w:rFonts w:ascii="Arial" w:hAnsi="Arial" w:cs="Arial"/>
          <w:sz w:val="22"/>
          <w:szCs w:val="22"/>
          <w:lang w:val="cs-CZ"/>
        </w:rPr>
        <w:t xml:space="preserve">Kraje Vysočina </w:t>
      </w:r>
      <w:r w:rsidR="008F3030" w:rsidRPr="00B1460D">
        <w:rPr>
          <w:rFonts w:ascii="Arial" w:hAnsi="Arial" w:cs="Arial"/>
          <w:sz w:val="22"/>
          <w:szCs w:val="22"/>
        </w:rPr>
        <w:t>dne</w:t>
      </w:r>
      <w:r w:rsidR="00692AA7" w:rsidRPr="00B1460D">
        <w:rPr>
          <w:rFonts w:ascii="Arial" w:hAnsi="Arial" w:cs="Arial"/>
          <w:sz w:val="22"/>
          <w:szCs w:val="22"/>
          <w:lang w:val="cs-CZ"/>
        </w:rPr>
        <w:t xml:space="preserve"> 29. 4. 2014 a </w:t>
      </w:r>
      <w:r w:rsidR="00E32FF9" w:rsidRPr="00B1460D">
        <w:rPr>
          <w:rFonts w:ascii="Arial" w:hAnsi="Arial" w:cs="Arial"/>
          <w:sz w:val="22"/>
          <w:szCs w:val="22"/>
          <w:lang w:val="cs-CZ"/>
        </w:rPr>
        <w:t xml:space="preserve">o </w:t>
      </w:r>
      <w:r w:rsidR="00692AA7" w:rsidRPr="00B1460D">
        <w:rPr>
          <w:rFonts w:ascii="Arial" w:hAnsi="Arial" w:cs="Arial"/>
          <w:sz w:val="22"/>
          <w:szCs w:val="22"/>
          <w:lang w:val="cs-CZ"/>
        </w:rPr>
        <w:t xml:space="preserve">jejím uzavření rozhodnuto </w:t>
      </w:r>
      <w:r w:rsidR="008F3030" w:rsidRPr="00B1460D">
        <w:rPr>
          <w:rFonts w:ascii="Arial" w:hAnsi="Arial" w:cs="Arial"/>
          <w:sz w:val="22"/>
          <w:szCs w:val="22"/>
        </w:rPr>
        <w:t xml:space="preserve">usnesením č. ….. </w:t>
      </w:r>
      <w:r w:rsidR="00692AA7" w:rsidRPr="00B1460D">
        <w:rPr>
          <w:rFonts w:ascii="Arial" w:hAnsi="Arial" w:cs="Arial"/>
          <w:i/>
          <w:iCs/>
          <w:sz w:val="22"/>
          <w:szCs w:val="22"/>
          <w:lang w:val="cs-CZ"/>
        </w:rPr>
        <w:t>……………..</w:t>
      </w: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spacing w:line="360" w:lineRule="auto"/>
        <w:jc w:val="both"/>
        <w:rPr>
          <w:rFonts w:ascii="Arial" w:hAnsi="Arial" w:cs="Arial"/>
          <w:sz w:val="22"/>
          <w:szCs w:val="22"/>
        </w:rPr>
      </w:pPr>
      <w:r w:rsidRPr="00B1460D">
        <w:rPr>
          <w:rFonts w:ascii="Arial" w:hAnsi="Arial" w:cs="Arial"/>
          <w:sz w:val="22"/>
          <w:szCs w:val="22"/>
        </w:rPr>
        <w:t>V</w:t>
      </w:r>
      <w:r w:rsidR="00A7770B" w:rsidRPr="00B1460D">
        <w:rPr>
          <w:rFonts w:ascii="Arial" w:hAnsi="Arial" w:cs="Arial"/>
          <w:sz w:val="22"/>
          <w:szCs w:val="22"/>
        </w:rPr>
        <w:t xml:space="preserve"> Jihlavě </w:t>
      </w:r>
      <w:r w:rsidRPr="00B1460D">
        <w:rPr>
          <w:rFonts w:ascii="Arial" w:hAnsi="Arial" w:cs="Arial"/>
          <w:sz w:val="22"/>
          <w:szCs w:val="22"/>
        </w:rPr>
        <w:t>dne …….</w:t>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t xml:space="preserve">           V</w:t>
      </w:r>
      <w:r w:rsidR="005A5B91" w:rsidRPr="00B1460D">
        <w:rPr>
          <w:rFonts w:ascii="Arial" w:hAnsi="Arial" w:cs="Arial"/>
          <w:sz w:val="22"/>
          <w:szCs w:val="22"/>
        </w:rPr>
        <w:t xml:space="preserve"> Jihlavě </w:t>
      </w:r>
      <w:r w:rsidRPr="00B1460D">
        <w:rPr>
          <w:rFonts w:ascii="Arial" w:hAnsi="Arial" w:cs="Arial"/>
          <w:sz w:val="22"/>
          <w:szCs w:val="22"/>
        </w:rPr>
        <w:t>dne</w:t>
      </w:r>
      <w:r w:rsidR="00A7770B" w:rsidRPr="00B1460D">
        <w:rPr>
          <w:rFonts w:ascii="Arial" w:hAnsi="Arial" w:cs="Arial"/>
          <w:sz w:val="22"/>
          <w:szCs w:val="22"/>
        </w:rPr>
        <w:t xml:space="preserve"> </w:t>
      </w:r>
      <w:r w:rsidRPr="00B1460D">
        <w:rPr>
          <w:rFonts w:ascii="Arial" w:hAnsi="Arial" w:cs="Arial"/>
          <w:sz w:val="22"/>
          <w:szCs w:val="22"/>
        </w:rPr>
        <w:t>……</w:t>
      </w: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spacing w:line="360" w:lineRule="auto"/>
        <w:jc w:val="both"/>
        <w:rPr>
          <w:rFonts w:ascii="Arial" w:hAnsi="Arial" w:cs="Arial"/>
          <w:sz w:val="22"/>
          <w:szCs w:val="22"/>
        </w:rPr>
      </w:pPr>
      <w:r w:rsidRPr="00B1460D">
        <w:rPr>
          <w:rFonts w:ascii="Arial" w:hAnsi="Arial" w:cs="Arial"/>
          <w:sz w:val="22"/>
          <w:szCs w:val="22"/>
        </w:rPr>
        <w:t>Za příjemce</w:t>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t>Za poskytovatele</w:t>
      </w:r>
    </w:p>
    <w:p w:rsidR="008F3030" w:rsidRPr="00B1460D" w:rsidRDefault="008F3030" w:rsidP="008F3030">
      <w:pPr>
        <w:spacing w:line="360" w:lineRule="auto"/>
        <w:jc w:val="both"/>
        <w:rPr>
          <w:rFonts w:ascii="Arial" w:hAnsi="Arial" w:cs="Arial"/>
          <w:sz w:val="22"/>
          <w:szCs w:val="22"/>
        </w:rPr>
      </w:pPr>
    </w:p>
    <w:p w:rsidR="008F3030" w:rsidRPr="00B1460D" w:rsidRDefault="00A7770B" w:rsidP="008F3030">
      <w:pPr>
        <w:spacing w:line="360" w:lineRule="auto"/>
        <w:jc w:val="both"/>
        <w:rPr>
          <w:rFonts w:ascii="Arial" w:hAnsi="Arial" w:cs="Arial"/>
          <w:sz w:val="22"/>
          <w:szCs w:val="22"/>
        </w:rPr>
      </w:pPr>
      <w:r w:rsidRPr="00B1460D">
        <w:rPr>
          <w:rFonts w:ascii="Arial" w:hAnsi="Arial" w:cs="Arial"/>
          <w:sz w:val="22"/>
          <w:szCs w:val="22"/>
        </w:rPr>
        <w:t>Ing. Vladimír Novotný</w:t>
      </w:r>
      <w:r w:rsidR="008F3030" w:rsidRPr="00B1460D">
        <w:rPr>
          <w:rFonts w:ascii="Arial" w:hAnsi="Arial" w:cs="Arial"/>
          <w:sz w:val="22"/>
          <w:szCs w:val="22"/>
        </w:rPr>
        <w:tab/>
      </w:r>
      <w:r w:rsidR="008F3030" w:rsidRPr="00B1460D">
        <w:rPr>
          <w:rFonts w:ascii="Arial" w:hAnsi="Arial" w:cs="Arial"/>
          <w:sz w:val="22"/>
          <w:szCs w:val="22"/>
        </w:rPr>
        <w:tab/>
      </w:r>
      <w:r w:rsidR="008F3030" w:rsidRPr="00B1460D">
        <w:rPr>
          <w:rFonts w:ascii="Arial" w:hAnsi="Arial" w:cs="Arial"/>
          <w:sz w:val="22"/>
          <w:szCs w:val="22"/>
        </w:rPr>
        <w:tab/>
      </w:r>
      <w:r w:rsidR="008F3030" w:rsidRPr="00B1460D">
        <w:rPr>
          <w:rFonts w:ascii="Arial" w:hAnsi="Arial" w:cs="Arial"/>
          <w:sz w:val="22"/>
          <w:szCs w:val="22"/>
        </w:rPr>
        <w:tab/>
      </w:r>
      <w:r w:rsidR="008F3030" w:rsidRPr="00B1460D">
        <w:rPr>
          <w:rFonts w:ascii="Arial" w:hAnsi="Arial" w:cs="Arial"/>
          <w:sz w:val="22"/>
          <w:szCs w:val="22"/>
        </w:rPr>
        <w:tab/>
      </w:r>
      <w:r w:rsidR="008F3030" w:rsidRPr="00B1460D">
        <w:rPr>
          <w:rFonts w:ascii="Arial" w:hAnsi="Arial" w:cs="Arial"/>
          <w:sz w:val="22"/>
          <w:szCs w:val="22"/>
        </w:rPr>
        <w:tab/>
      </w:r>
      <w:r w:rsidR="00764F26" w:rsidRPr="00B1460D">
        <w:rPr>
          <w:rFonts w:ascii="Arial" w:hAnsi="Arial" w:cs="Arial"/>
          <w:sz w:val="22"/>
          <w:szCs w:val="22"/>
        </w:rPr>
        <w:t>MUDr. Jiří Běhounek</w:t>
      </w:r>
    </w:p>
    <w:p w:rsidR="008F3030" w:rsidRPr="00B1460D" w:rsidRDefault="00A7770B" w:rsidP="008F3030">
      <w:pPr>
        <w:spacing w:line="360" w:lineRule="auto"/>
        <w:ind w:left="5664" w:hanging="5664"/>
        <w:jc w:val="both"/>
        <w:rPr>
          <w:rFonts w:ascii="Arial" w:hAnsi="Arial" w:cs="Arial"/>
          <w:sz w:val="22"/>
          <w:szCs w:val="22"/>
        </w:rPr>
      </w:pPr>
      <w:r w:rsidRPr="00B1460D">
        <w:rPr>
          <w:rFonts w:ascii="Arial" w:hAnsi="Arial" w:cs="Arial"/>
          <w:sz w:val="22"/>
          <w:szCs w:val="22"/>
        </w:rPr>
        <w:t>náměstek hejtmana Kraje Vysočina</w:t>
      </w:r>
      <w:r w:rsidR="008F3030" w:rsidRPr="00B1460D">
        <w:rPr>
          <w:rFonts w:ascii="Arial" w:hAnsi="Arial" w:cs="Arial"/>
          <w:sz w:val="22"/>
          <w:szCs w:val="22"/>
        </w:rPr>
        <w:tab/>
        <w:t>předseda Regionální rady</w:t>
      </w:r>
    </w:p>
    <w:p w:rsidR="008F3030" w:rsidRPr="00B1460D" w:rsidRDefault="008F3030" w:rsidP="008F3030">
      <w:pPr>
        <w:spacing w:line="360" w:lineRule="auto"/>
        <w:jc w:val="both"/>
        <w:rPr>
          <w:rFonts w:ascii="Arial" w:hAnsi="Arial" w:cs="Arial"/>
          <w:sz w:val="22"/>
          <w:szCs w:val="22"/>
        </w:rPr>
      </w:pPr>
    </w:p>
    <w:p w:rsidR="008F3030" w:rsidRPr="00B1460D" w:rsidRDefault="008F3030" w:rsidP="008F3030">
      <w:pPr>
        <w:spacing w:line="360" w:lineRule="auto"/>
        <w:jc w:val="both"/>
        <w:rPr>
          <w:rFonts w:ascii="Arial" w:hAnsi="Arial" w:cs="Arial"/>
          <w:sz w:val="22"/>
          <w:szCs w:val="22"/>
        </w:rPr>
      </w:pPr>
      <w:r w:rsidRPr="00B1460D">
        <w:rPr>
          <w:rFonts w:ascii="Arial" w:hAnsi="Arial" w:cs="Arial"/>
          <w:sz w:val="22"/>
          <w:szCs w:val="22"/>
        </w:rPr>
        <w:t>……………..</w:t>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t>……………….</w:t>
      </w:r>
    </w:p>
    <w:p w:rsidR="008F3030" w:rsidRPr="00B1460D" w:rsidRDefault="008F3030" w:rsidP="008F3030">
      <w:pPr>
        <w:spacing w:line="360" w:lineRule="auto"/>
        <w:jc w:val="both"/>
        <w:rPr>
          <w:rFonts w:ascii="Arial" w:hAnsi="Arial" w:cs="Arial"/>
          <w:szCs w:val="22"/>
        </w:rPr>
      </w:pPr>
      <w:r w:rsidRPr="00B1460D">
        <w:rPr>
          <w:rFonts w:ascii="Arial" w:hAnsi="Arial" w:cs="Arial"/>
          <w:sz w:val="22"/>
          <w:szCs w:val="22"/>
        </w:rPr>
        <w:t>Podpis</w:t>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r>
      <w:r w:rsidRPr="00B1460D">
        <w:rPr>
          <w:rFonts w:ascii="Arial" w:hAnsi="Arial" w:cs="Arial"/>
          <w:sz w:val="22"/>
          <w:szCs w:val="22"/>
        </w:rPr>
        <w:tab/>
        <w:t>Podpis</w:t>
      </w:r>
    </w:p>
    <w:p w:rsidR="00A8400F" w:rsidRPr="00B1460D" w:rsidRDefault="00A8400F"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8F3030" w:rsidP="008F3030">
      <w:pPr>
        <w:rPr>
          <w:rFonts w:ascii="Arial" w:hAnsi="Arial" w:cs="Arial"/>
        </w:rPr>
      </w:pPr>
    </w:p>
    <w:p w:rsidR="008F3030" w:rsidRPr="00B1460D" w:rsidRDefault="00A7770B" w:rsidP="008F3030">
      <w:pPr>
        <w:jc w:val="center"/>
        <w:rPr>
          <w:rFonts w:ascii="Arial" w:hAnsi="Arial" w:cs="Arial"/>
          <w:b/>
          <w:sz w:val="28"/>
          <w:szCs w:val="28"/>
        </w:rPr>
      </w:pPr>
      <w:r w:rsidRPr="00B1460D">
        <w:rPr>
          <w:rFonts w:ascii="Arial" w:hAnsi="Arial" w:cs="Arial"/>
          <w:b/>
          <w:sz w:val="28"/>
          <w:szCs w:val="28"/>
        </w:rPr>
        <w:br w:type="page"/>
      </w:r>
      <w:r w:rsidR="008F3030" w:rsidRPr="00B1460D">
        <w:rPr>
          <w:rFonts w:ascii="Arial" w:hAnsi="Arial" w:cs="Arial"/>
          <w:b/>
          <w:sz w:val="28"/>
          <w:szCs w:val="28"/>
        </w:rPr>
        <w:t xml:space="preserve">Příloha č. 1 ke Smlouvě o poskytnutí dotace </w:t>
      </w:r>
    </w:p>
    <w:p w:rsidR="008F3030" w:rsidRPr="00B1460D" w:rsidRDefault="008F3030" w:rsidP="008F3030">
      <w:pPr>
        <w:jc w:val="center"/>
        <w:rPr>
          <w:rFonts w:ascii="Arial" w:hAnsi="Arial" w:cs="Arial"/>
          <w:b/>
          <w:sz w:val="28"/>
          <w:szCs w:val="28"/>
        </w:rPr>
      </w:pPr>
      <w:r w:rsidRPr="00B1460D">
        <w:rPr>
          <w:rFonts w:ascii="Arial" w:hAnsi="Arial" w:cs="Arial"/>
          <w:b/>
          <w:sz w:val="28"/>
          <w:szCs w:val="28"/>
        </w:rPr>
        <w:t>z Regionálního operačního programu NUTS 2 Jihovýchod</w:t>
      </w:r>
    </w:p>
    <w:p w:rsidR="008F3030" w:rsidRPr="00B1460D" w:rsidRDefault="008F3030" w:rsidP="008F3030">
      <w:pPr>
        <w:rPr>
          <w:rFonts w:ascii="Arial" w:hAnsi="Arial" w:cs="Arial"/>
          <w:b/>
          <w:sz w:val="28"/>
          <w:szCs w:val="28"/>
        </w:rPr>
      </w:pPr>
    </w:p>
    <w:p w:rsidR="008F3030" w:rsidRPr="00B1460D" w:rsidRDefault="008F3030" w:rsidP="008F3030">
      <w:pPr>
        <w:pStyle w:val="Normlnweb"/>
        <w:spacing w:before="0" w:beforeAutospacing="0" w:after="0" w:afterAutospacing="0"/>
        <w:rPr>
          <w:rFonts w:ascii="Arial" w:hAnsi="Arial" w:cs="Arial"/>
          <w:sz w:val="22"/>
          <w:szCs w:val="22"/>
        </w:rPr>
      </w:pPr>
    </w:p>
    <w:p w:rsidR="008F3030" w:rsidRPr="00B1460D" w:rsidRDefault="008F3030" w:rsidP="008F3030">
      <w:pPr>
        <w:pStyle w:val="Normlnweb"/>
        <w:spacing w:before="0" w:beforeAutospacing="0" w:after="0" w:afterAutospacing="0"/>
        <w:rPr>
          <w:rFonts w:ascii="Arial" w:hAnsi="Arial" w:cs="Arial"/>
          <w:sz w:val="22"/>
          <w:szCs w:val="22"/>
        </w:rPr>
      </w:pPr>
      <w:r w:rsidRPr="00B1460D">
        <w:rPr>
          <w:rFonts w:ascii="Arial" w:hAnsi="Arial" w:cs="Arial"/>
          <w:sz w:val="22"/>
          <w:szCs w:val="22"/>
        </w:rPr>
        <w:t>Poznámka: K uplatnění nižšího odvodu je vždy nutný souhlas právního oddělení.</w:t>
      </w:r>
    </w:p>
    <w:p w:rsidR="008F3030" w:rsidRPr="00B1460D" w:rsidRDefault="008F3030" w:rsidP="008F3030">
      <w:pPr>
        <w:rPr>
          <w:rFonts w:ascii="Arial" w:hAnsi="Arial" w:cs="Arial"/>
          <w:b/>
          <w:sz w:val="28"/>
          <w:szCs w:val="28"/>
        </w:rPr>
      </w:pPr>
    </w:p>
    <w:p w:rsidR="008F3030" w:rsidRPr="00B1460D" w:rsidRDefault="008F3030" w:rsidP="008F3030">
      <w:pPr>
        <w:jc w:val="both"/>
        <w:rPr>
          <w:rFonts w:ascii="Arial" w:hAnsi="Arial" w:cs="Arial"/>
          <w:b/>
          <w:sz w:val="26"/>
          <w:szCs w:val="26"/>
          <w:u w:val="single"/>
        </w:rPr>
      </w:pPr>
      <w:r w:rsidRPr="00B1460D">
        <w:rPr>
          <w:rFonts w:ascii="Arial" w:hAnsi="Arial" w:cs="Arial"/>
          <w:b/>
          <w:sz w:val="26"/>
          <w:szCs w:val="26"/>
          <w:u w:val="single"/>
        </w:rPr>
        <w:t>Tabulka č.1 – Přehled pochybení v rámci realizace výběrových řízení nespadající pod aplikaci zákona č. 137/2006 Sb., o veřejných zakázkách a sazby pro výpočet nižšího odvodu za tato pochybení</w:t>
      </w:r>
    </w:p>
    <w:p w:rsidR="008F3030" w:rsidRPr="00B1460D" w:rsidRDefault="008F3030" w:rsidP="008F3030">
      <w:pPr>
        <w:rPr>
          <w:rFonts w:ascii="Arial" w:hAnsi="Arial" w:cs="Arial"/>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5"/>
        <w:gridCol w:w="2409"/>
        <w:gridCol w:w="4726"/>
        <w:gridCol w:w="1260"/>
        <w:gridCol w:w="1260"/>
      </w:tblGrid>
      <w:tr w:rsidR="008F3030" w:rsidRPr="00B1460D" w:rsidTr="00872ECE">
        <w:trPr>
          <w:tblHeader/>
        </w:trPr>
        <w:tc>
          <w:tcPr>
            <w:tcW w:w="455" w:type="dxa"/>
            <w:vMerge w:val="restart"/>
            <w:tcBorders>
              <w:top w:val="single" w:sz="4" w:space="0" w:color="auto"/>
              <w:left w:val="single" w:sz="4" w:space="0" w:color="auto"/>
              <w:right w:val="single" w:sz="4" w:space="0" w:color="auto"/>
            </w:tcBorders>
            <w:vAlign w:val="center"/>
            <w:hideMark/>
          </w:tcPr>
          <w:p w:rsidR="008F3030" w:rsidRPr="00B1460D" w:rsidRDefault="008F3030" w:rsidP="00872ECE">
            <w:pPr>
              <w:pStyle w:val="CharChar1CharCharChar"/>
              <w:spacing w:before="40" w:after="40"/>
              <w:jc w:val="center"/>
              <w:rPr>
                <w:rFonts w:ascii="Arial" w:hAnsi="Arial"/>
                <w:b/>
                <w:lang w:val="cs-CZ"/>
              </w:rPr>
            </w:pPr>
            <w:r w:rsidRPr="00B1460D">
              <w:rPr>
                <w:rFonts w:ascii="Arial" w:hAnsi="Arial"/>
                <w:b/>
                <w:lang w:val="cs-CZ"/>
              </w:rPr>
              <w:t>Č.</w:t>
            </w:r>
          </w:p>
        </w:tc>
        <w:tc>
          <w:tcPr>
            <w:tcW w:w="2409" w:type="dxa"/>
            <w:vMerge w:val="restart"/>
            <w:tcBorders>
              <w:top w:val="single" w:sz="4" w:space="0" w:color="auto"/>
              <w:left w:val="single" w:sz="4" w:space="0" w:color="auto"/>
              <w:right w:val="single" w:sz="4" w:space="0" w:color="auto"/>
            </w:tcBorders>
            <w:vAlign w:val="center"/>
            <w:hideMark/>
          </w:tcPr>
          <w:p w:rsidR="008F3030" w:rsidRPr="00B1460D" w:rsidRDefault="008F3030" w:rsidP="00872ECE">
            <w:pPr>
              <w:pStyle w:val="CharChar1CharCharChar"/>
              <w:spacing w:before="40" w:after="40"/>
              <w:jc w:val="center"/>
              <w:rPr>
                <w:rFonts w:ascii="Arial" w:hAnsi="Arial"/>
                <w:b/>
                <w:lang w:val="cs-CZ"/>
              </w:rPr>
            </w:pPr>
            <w:r w:rsidRPr="00B1460D">
              <w:rPr>
                <w:rFonts w:ascii="Arial" w:hAnsi="Arial"/>
                <w:b/>
                <w:lang w:val="cs-CZ"/>
              </w:rPr>
              <w:t>Porušení</w:t>
            </w:r>
          </w:p>
        </w:tc>
        <w:tc>
          <w:tcPr>
            <w:tcW w:w="4726" w:type="dxa"/>
            <w:vMerge w:val="restart"/>
            <w:tcBorders>
              <w:top w:val="single" w:sz="4" w:space="0" w:color="auto"/>
              <w:left w:val="single" w:sz="4" w:space="0" w:color="auto"/>
              <w:right w:val="single" w:sz="4" w:space="0" w:color="auto"/>
            </w:tcBorders>
            <w:vAlign w:val="center"/>
            <w:hideMark/>
          </w:tcPr>
          <w:p w:rsidR="008F3030" w:rsidRPr="00B1460D" w:rsidRDefault="008F3030" w:rsidP="00872ECE">
            <w:pPr>
              <w:pStyle w:val="CharChar1CharCharChar"/>
              <w:spacing w:before="40" w:after="40"/>
              <w:jc w:val="center"/>
              <w:rPr>
                <w:rFonts w:ascii="Arial" w:hAnsi="Arial"/>
                <w:b/>
                <w:lang w:val="cs-CZ"/>
              </w:rPr>
            </w:pPr>
            <w:r w:rsidRPr="00B1460D">
              <w:rPr>
                <w:rFonts w:ascii="Arial" w:hAnsi="Arial"/>
                <w:b/>
                <w:lang w:val="cs-CZ"/>
              </w:rPr>
              <w:t>Popis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8F3030" w:rsidRPr="00B1460D" w:rsidRDefault="008F3030" w:rsidP="00872ECE">
            <w:pPr>
              <w:pStyle w:val="CharChar1CharCharChar"/>
              <w:spacing w:before="40" w:after="40"/>
              <w:jc w:val="center"/>
              <w:rPr>
                <w:rFonts w:ascii="Arial" w:hAnsi="Arial"/>
                <w:b/>
                <w:lang w:val="cs-CZ"/>
              </w:rPr>
            </w:pPr>
            <w:r w:rsidRPr="00B1460D">
              <w:rPr>
                <w:rFonts w:ascii="Arial" w:hAnsi="Arial"/>
                <w:b/>
                <w:lang w:val="cs-CZ"/>
              </w:rPr>
              <w:t>Sazba pro výpočet nižšího odvodu</w:t>
            </w:r>
            <w:r w:rsidRPr="00B1460D">
              <w:rPr>
                <w:rStyle w:val="Znakapoznpodarou"/>
                <w:rFonts w:ascii="Arial" w:hAnsi="Arial"/>
                <w:b/>
                <w:lang w:val="cs-CZ"/>
              </w:rPr>
              <w:footnoteReference w:id="8"/>
            </w:r>
          </w:p>
        </w:tc>
      </w:tr>
      <w:tr w:rsidR="008F3030" w:rsidRPr="00B1460D" w:rsidTr="00872ECE">
        <w:tc>
          <w:tcPr>
            <w:tcW w:w="455" w:type="dxa"/>
            <w:vMerge/>
            <w:tcBorders>
              <w:left w:val="single" w:sz="4" w:space="0" w:color="auto"/>
              <w:bottom w:val="single" w:sz="4" w:space="0" w:color="auto"/>
              <w:right w:val="single" w:sz="4" w:space="0" w:color="auto"/>
            </w:tcBorders>
          </w:tcPr>
          <w:p w:rsidR="008F3030" w:rsidRPr="00B1460D" w:rsidRDefault="008F3030" w:rsidP="00872ECE">
            <w:pPr>
              <w:pStyle w:val="CharChar1CharCharChar"/>
              <w:spacing w:after="120"/>
              <w:ind w:right="113"/>
              <w:jc w:val="right"/>
              <w:rPr>
                <w:rFonts w:ascii="Arial" w:hAnsi="Arial"/>
                <w:lang w:val="cs-CZ"/>
              </w:rPr>
            </w:pPr>
          </w:p>
        </w:tc>
        <w:tc>
          <w:tcPr>
            <w:tcW w:w="2409" w:type="dxa"/>
            <w:vMerge/>
            <w:tcBorders>
              <w:left w:val="single" w:sz="4" w:space="0" w:color="auto"/>
              <w:bottom w:val="single" w:sz="4" w:space="0" w:color="auto"/>
              <w:right w:val="single" w:sz="4" w:space="0" w:color="auto"/>
            </w:tcBorders>
          </w:tcPr>
          <w:p w:rsidR="008F3030" w:rsidRPr="00B1460D" w:rsidRDefault="008F3030" w:rsidP="00872ECE">
            <w:pPr>
              <w:pStyle w:val="CharChar1CharCharChar"/>
              <w:spacing w:after="120"/>
              <w:rPr>
                <w:rFonts w:ascii="Arial" w:hAnsi="Arial"/>
                <w:lang w:val="cs-CZ"/>
              </w:rPr>
            </w:pPr>
          </w:p>
        </w:tc>
        <w:tc>
          <w:tcPr>
            <w:tcW w:w="4726" w:type="dxa"/>
            <w:vMerge/>
            <w:tcBorders>
              <w:left w:val="single" w:sz="4" w:space="0" w:color="auto"/>
              <w:bottom w:val="single" w:sz="4" w:space="0" w:color="auto"/>
              <w:right w:val="single" w:sz="4" w:space="0" w:color="auto"/>
            </w:tcBorders>
          </w:tcPr>
          <w:p w:rsidR="008F3030" w:rsidRPr="00B1460D" w:rsidRDefault="008F3030" w:rsidP="00872ECE">
            <w:pPr>
              <w:pStyle w:val="CharChar1CharCharChar"/>
              <w:spacing w:after="120"/>
              <w:rPr>
                <w:rFonts w:ascii="Arial" w:hAnsi="Arial"/>
                <w:lang w:val="cs-CZ"/>
              </w:rPr>
            </w:pP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Spodní hranice procentního rozmezí</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Horní hranice procentního rozmezí</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1</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Nedodržení požadovaného způsobu zahájení výběrového řízení (v relevantních případech)</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num" w:pos="121"/>
              </w:tabs>
              <w:spacing w:after="120"/>
              <w:ind w:left="121" w:hanging="141"/>
              <w:rPr>
                <w:rFonts w:ascii="Arial" w:hAnsi="Arial"/>
                <w:lang w:val="cs-CZ"/>
              </w:rPr>
            </w:pPr>
            <w:r w:rsidRPr="00B1460D">
              <w:rPr>
                <w:rFonts w:ascii="Arial" w:hAnsi="Arial"/>
                <w:lang w:val="cs-CZ"/>
              </w:rPr>
              <w:t>- Zadavatel neuveřejnil oznámení o zahájení výběrového řízení požadovaným způsobem a ani neodeslal výzvu k podání nabídky konkrétních zájemců požadovaným způsobem, není-li dále stanoveno jinak.</w:t>
            </w:r>
          </w:p>
          <w:p w:rsidR="008F3030" w:rsidRPr="00B1460D" w:rsidRDefault="008F3030" w:rsidP="00872ECE">
            <w:pPr>
              <w:pStyle w:val="CharChar1CharCharChar"/>
              <w:tabs>
                <w:tab w:val="num" w:pos="121"/>
              </w:tabs>
              <w:spacing w:after="120"/>
              <w:ind w:left="121" w:hanging="141"/>
              <w:rPr>
                <w:rFonts w:ascii="Arial" w:hAnsi="Arial"/>
                <w:lang w:val="cs-CZ"/>
              </w:rPr>
            </w:pPr>
            <w:r w:rsidRPr="00B1460D">
              <w:rPr>
                <w:rFonts w:ascii="Arial" w:hAnsi="Arial"/>
                <w:lang w:val="cs-CZ"/>
              </w:rPr>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r w:rsidRPr="00B1460D">
              <w:rPr>
                <w:rFonts w:ascii="Arial" w:hAnsi="Arial"/>
                <w:lang w:val="cs-CZ"/>
              </w:rPr>
              <w:br/>
            </w:r>
            <w:r w:rsidRPr="00B1460D">
              <w:rPr>
                <w:rFonts w:ascii="Arial" w:hAnsi="Arial"/>
                <w:lang w:val="cs-CZ"/>
              </w:rPr>
              <w:br/>
            </w:r>
            <w:r w:rsidRPr="00B1460D">
              <w:rPr>
                <w:rFonts w:ascii="Arial" w:hAnsi="Arial"/>
                <w:lang w:val="cs-CZ"/>
              </w:rPr>
              <w:br/>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100 %</w:t>
            </w:r>
            <w:r w:rsidRPr="00B1460D">
              <w:rPr>
                <w:rFonts w:ascii="Arial" w:hAnsi="Arial"/>
                <w:lang w:val="cs-CZ"/>
              </w:rPr>
              <w:br/>
            </w:r>
            <w:r w:rsidRPr="00B1460D">
              <w:rPr>
                <w:rFonts w:ascii="Arial" w:hAnsi="Arial"/>
                <w:lang w:val="cs-CZ"/>
              </w:rPr>
              <w:br/>
            </w:r>
            <w:r w:rsidRPr="00B1460D">
              <w:rPr>
                <w:rFonts w:ascii="Arial" w:hAnsi="Arial"/>
                <w:lang w:val="cs-CZ"/>
              </w:rPr>
              <w:br/>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cs="Times New Roman"/>
                <w:sz w:val="24"/>
                <w:szCs w:val="24"/>
                <w:lang w:val="cs-CZ" w:eastAsia="cs-CZ"/>
              </w:rPr>
              <w:t>40 %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2</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Diskriminační definice předmětu zakázky</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F3030">
            <w:pPr>
              <w:pStyle w:val="CharChar1CharCharChar"/>
              <w:numPr>
                <w:ilvl w:val="0"/>
                <w:numId w:val="37"/>
              </w:numPr>
              <w:tabs>
                <w:tab w:val="num" w:pos="-162"/>
                <w:tab w:val="num" w:pos="121"/>
              </w:tabs>
              <w:spacing w:after="120"/>
              <w:ind w:left="121" w:hanging="141"/>
              <w:rPr>
                <w:rFonts w:ascii="Arial" w:hAnsi="Arial"/>
                <w:lang w:val="cs-CZ"/>
              </w:rPr>
            </w:pPr>
            <w:r w:rsidRPr="00B1460D">
              <w:rPr>
                <w:rFonts w:ascii="Arial" w:hAnsi="Arial"/>
                <w:lang w:val="cs-CZ"/>
              </w:rPr>
              <w:t>Diskriminační stanovení předmětu zakázky</w:t>
            </w:r>
            <w:r w:rsidRPr="00B1460D">
              <w:rPr>
                <w:rStyle w:val="Znakapoznpodarou"/>
                <w:rFonts w:ascii="Arial" w:hAnsi="Arial"/>
                <w:lang w:val="cs-CZ"/>
              </w:rPr>
              <w:footnoteReference w:id="9"/>
            </w:r>
            <w:r w:rsidRPr="00B1460D">
              <w:rPr>
                <w:rFonts w:ascii="Arial" w:hAnsi="Arial"/>
                <w:lang w:val="cs-CZ"/>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3</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Dělení předmětu zakázky</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num" w:pos="121"/>
              </w:tabs>
              <w:spacing w:after="120"/>
              <w:ind w:left="121" w:hanging="141"/>
              <w:rPr>
                <w:rFonts w:ascii="Arial" w:hAnsi="Arial"/>
                <w:lang w:val="cs-CZ"/>
              </w:rPr>
            </w:pPr>
            <w:r w:rsidRPr="00B1460D">
              <w:rPr>
                <w:rFonts w:ascii="Arial" w:hAnsi="Arial"/>
                <w:lang w:val="cs-CZ"/>
              </w:rPr>
              <w:t>- Zadavatel nepostupoval řádně a rozdělil předmět zakázky tak, aby tím došlo ke snížení předpokládané hodnoty zakázky pod stanovené finanční limity</w:t>
            </w:r>
            <w:r w:rsidRPr="00B1460D">
              <w:rPr>
                <w:rStyle w:val="Znakapoznpodarou"/>
                <w:rFonts w:ascii="Arial" w:hAnsi="Arial"/>
                <w:lang w:val="cs-CZ"/>
              </w:rPr>
              <w:footnoteReference w:id="10"/>
            </w:r>
            <w:r w:rsidRPr="00B1460D">
              <w:rPr>
                <w:rFonts w:ascii="Arial" w:hAnsi="Arial"/>
                <w:lang w:val="cs-CZ"/>
              </w:rPr>
              <w:t>.</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cs="Times New Roman"/>
                <w:sz w:val="24"/>
                <w:szCs w:val="24"/>
                <w:lang w:val="cs-CZ" w:eastAsia="cs-CZ"/>
              </w:rPr>
              <w:t>40 %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keepNext/>
              <w:spacing w:after="120"/>
              <w:ind w:right="113"/>
              <w:jc w:val="center"/>
              <w:rPr>
                <w:rFonts w:ascii="Arial" w:hAnsi="Arial"/>
                <w:lang w:val="cs-CZ"/>
              </w:rPr>
            </w:pPr>
            <w:r w:rsidRPr="00B1460D">
              <w:rPr>
                <w:rFonts w:ascii="Arial" w:hAnsi="Arial"/>
                <w:lang w:val="cs-CZ"/>
              </w:rPr>
              <w:t>4</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keepNext/>
              <w:spacing w:after="120"/>
              <w:rPr>
                <w:rFonts w:ascii="Arial" w:hAnsi="Arial"/>
                <w:lang w:val="cs-CZ"/>
              </w:rPr>
            </w:pPr>
            <w:r w:rsidRPr="00B1460D">
              <w:rPr>
                <w:rFonts w:ascii="Arial" w:hAnsi="Arial"/>
                <w:lang w:val="cs-CZ"/>
              </w:rPr>
              <w:t xml:space="preserve">Nedostatečný rozsah oznámení o zahájení výběrového řízení nebo výzvy k podání nabídky </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keepNext/>
              <w:keepLines/>
              <w:tabs>
                <w:tab w:val="num" w:pos="-20"/>
              </w:tabs>
              <w:spacing w:after="120"/>
              <w:ind w:left="119" w:hanging="119"/>
              <w:rPr>
                <w:rFonts w:ascii="Arial" w:hAnsi="Arial"/>
                <w:lang w:val="cs-CZ"/>
              </w:rPr>
            </w:pPr>
            <w:r w:rsidRPr="00B1460D">
              <w:rPr>
                <w:rFonts w:ascii="Arial" w:hAnsi="Arial"/>
                <w:lang w:val="cs-CZ"/>
              </w:rPr>
              <w:t>- Rozsah informací uvedených v oznámení o zahájení výběrového řízení nebo ve výzvě k podání nabídky neobsahuje minimální údaje dle PŽP.</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keepNext/>
              <w:spacing w:after="120"/>
              <w:jc w:val="center"/>
              <w:rPr>
                <w:rFonts w:ascii="Arial" w:hAnsi="Arial"/>
                <w:lang w:val="cs-CZ"/>
              </w:rPr>
            </w:pPr>
            <w:r w:rsidRPr="00B1460D">
              <w:rPr>
                <w:rFonts w:ascii="Arial" w:hAnsi="Arial"/>
                <w:lang w:val="cs-CZ"/>
              </w:rPr>
              <w:t>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keepNext/>
              <w:spacing w:after="120"/>
              <w:jc w:val="center"/>
              <w:rPr>
                <w:rFonts w:ascii="Arial" w:hAnsi="Arial"/>
                <w:lang w:val="cs-CZ"/>
              </w:rPr>
            </w:pPr>
            <w:r w:rsidRPr="00B1460D">
              <w:rPr>
                <w:rFonts w:ascii="Arial" w:hAnsi="Arial"/>
                <w:lang w:val="cs-CZ"/>
              </w:rPr>
              <w:t>25 %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5</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Použití nevhodných kvalifikačních předpokladů či hodnotících kritérií</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 xml:space="preserve">Diskriminační kvalifikační předpoklady </w:t>
            </w:r>
          </w:p>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 xml:space="preserve">Postup hodnocení proveden v rozporu s hodnotícími kritérii stanovenými zadavatelem v oznámení o zahájení výběrového řízení, ve výzvě k podání nabídky nebo v zadávací dokumentaci. </w:t>
            </w:r>
          </w:p>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Stanovení hodnotících kritérií, která se nevztahují k předmětu zakázky.</w:t>
            </w:r>
          </w:p>
        </w:tc>
        <w:tc>
          <w:tcPr>
            <w:tcW w:w="1260" w:type="dxa"/>
            <w:tcBorders>
              <w:top w:val="single" w:sz="4" w:space="0" w:color="auto"/>
              <w:left w:val="single" w:sz="4" w:space="0" w:color="auto"/>
              <w:bottom w:val="single" w:sz="4" w:space="0" w:color="auto"/>
              <w:right w:val="single" w:sz="4" w:space="0" w:color="auto"/>
            </w:tcBorders>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5 %</w:t>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10 %</w:t>
            </w:r>
          </w:p>
          <w:p w:rsidR="008F3030" w:rsidRPr="00B1460D" w:rsidRDefault="008F3030" w:rsidP="00872ECE">
            <w:pPr>
              <w:pStyle w:val="CharChar1CharCharChar"/>
              <w:tabs>
                <w:tab w:val="decimal" w:pos="397"/>
              </w:tabs>
              <w:spacing w:after="120"/>
              <w:jc w:val="center"/>
              <w:rPr>
                <w:rFonts w:ascii="Arial" w:hAnsi="Arial"/>
                <w:lang w:val="cs-CZ"/>
              </w:rPr>
            </w:pPr>
          </w:p>
          <w:p w:rsidR="008F3030" w:rsidRPr="00B1460D" w:rsidRDefault="008F3030" w:rsidP="00872ECE">
            <w:pPr>
              <w:pStyle w:val="CharChar1CharCharChar"/>
              <w:tabs>
                <w:tab w:val="decimal" w:pos="397"/>
              </w:tabs>
              <w:spacing w:after="120"/>
              <w:jc w:val="center"/>
              <w:rPr>
                <w:rFonts w:ascii="Arial" w:hAnsi="Arial"/>
                <w:lang w:val="cs-CZ"/>
              </w:rPr>
            </w:pP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5 %</w:t>
            </w:r>
          </w:p>
        </w:tc>
        <w:tc>
          <w:tcPr>
            <w:tcW w:w="1260" w:type="dxa"/>
            <w:tcBorders>
              <w:top w:val="single" w:sz="4" w:space="0" w:color="auto"/>
              <w:left w:val="single" w:sz="4" w:space="0" w:color="auto"/>
              <w:bottom w:val="single" w:sz="4" w:space="0" w:color="auto"/>
              <w:right w:val="single" w:sz="4" w:space="0" w:color="auto"/>
            </w:tcBorders>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p w:rsidR="008F3030" w:rsidRPr="00B1460D" w:rsidRDefault="008F3030" w:rsidP="00872ECE">
            <w:pPr>
              <w:pStyle w:val="CharChar1CharCharChar"/>
              <w:tabs>
                <w:tab w:val="decimal" w:pos="397"/>
              </w:tabs>
              <w:spacing w:after="120"/>
              <w:jc w:val="center"/>
              <w:rPr>
                <w:rFonts w:ascii="Arial" w:hAnsi="Arial"/>
                <w:lang w:val="cs-CZ"/>
              </w:rPr>
            </w:pPr>
          </w:p>
          <w:p w:rsidR="008F3030" w:rsidRPr="00B1460D" w:rsidRDefault="008F3030" w:rsidP="00872ECE">
            <w:pPr>
              <w:pStyle w:val="CharChar1CharCharChar"/>
              <w:tabs>
                <w:tab w:val="decimal" w:pos="397"/>
              </w:tabs>
              <w:spacing w:after="120"/>
              <w:jc w:val="center"/>
              <w:rPr>
                <w:rFonts w:ascii="Arial" w:hAnsi="Arial"/>
                <w:lang w:val="cs-CZ"/>
              </w:rPr>
            </w:pP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6</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Výběrové řízení bylo provedeno v rozporu s požadavky uvedenými v PŽP pro jednotlivé druhy řízení.</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 xml:space="preserve">Zadavatel nedodržel minimální lhůtu pro podání nabídky. </w:t>
            </w:r>
          </w:p>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Zadavatel neprovedl hodnocení nabídek dle požadavků uvedených v PŽP</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5 %</w:t>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10 %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20 %</w:t>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7</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Nedodržení zásady rovného zacházení, či zákazu diskriminace</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num" w:pos="121"/>
              </w:tabs>
              <w:spacing w:after="120"/>
              <w:ind w:left="121" w:hanging="141"/>
              <w:rPr>
                <w:rFonts w:ascii="Arial" w:hAnsi="Arial"/>
                <w:lang w:val="cs-CZ"/>
              </w:rPr>
            </w:pPr>
            <w:r w:rsidRPr="00B1460D">
              <w:rPr>
                <w:rFonts w:ascii="Arial" w:hAnsi="Arial"/>
                <w:lang w:val="cs-CZ"/>
              </w:rPr>
              <w:t xml:space="preserve">- Zakázka byla udělena v souladu s pravidly pro zahájení výběrového řízení, ale v průběhu realizace výběrového řízení nebyly dodrženy základní zásady.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20 %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8</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 xml:space="preserve">Zadavatel nezrušil výběrové řízení, přestože byly naplněny podmínky pro zrušení. </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num" w:pos="121"/>
              </w:tabs>
              <w:spacing w:after="120"/>
              <w:ind w:left="121" w:hanging="141"/>
              <w:rPr>
                <w:rFonts w:ascii="Arial" w:hAnsi="Arial"/>
                <w:lang w:val="cs-CZ"/>
              </w:rPr>
            </w:pPr>
            <w:r w:rsidRPr="00B1460D">
              <w:rPr>
                <w:rFonts w:ascii="Arial" w:hAnsi="Arial"/>
                <w:lang w:val="cs-CZ"/>
              </w:rPr>
              <w:t>- Zadavatel nezrušil výběrové řízení a uzavřel smlouvu, i když byl povinen jej zrušit.</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cs="Times New Roman"/>
                <w:sz w:val="24"/>
                <w:szCs w:val="24"/>
                <w:lang w:val="cs-CZ" w:eastAsia="cs-CZ"/>
              </w:rPr>
              <w:t>40 %</w:t>
            </w:r>
          </w:p>
        </w:tc>
      </w:tr>
      <w:tr w:rsidR="008F3030" w:rsidRPr="00B1460D" w:rsidTr="00872ECE">
        <w:trPr>
          <w:trHeight w:val="1374"/>
        </w:trPr>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9</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Zadavatel uzavřel smlouvu v rozporu s PŽP.</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Zadavatel uzavřel smlouvu, ačkoliv nedodržel ve vztahu k vybranému uchazeči min. lhůtu pro poskytnutí součinnosti a uzavřel smlouvu s dalším v pořadí.</w:t>
            </w:r>
          </w:p>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 xml:space="preserve">Smlouva není uzavřena ve shodě s podmínkami výběrového řízení a vybranou nabídkou a zároveň se jedná o podstatnou změnu definovanou v PŽP </w:t>
            </w:r>
          </w:p>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Smlouva byla uzavřena s uchazečem, jehož nabídka měla být vyřazena z důvodu uvedených níže</w:t>
            </w:r>
            <w:r w:rsidRPr="00B1460D">
              <w:rPr>
                <w:rStyle w:val="Znakapoznpodarou"/>
                <w:rFonts w:ascii="Arial" w:hAnsi="Arial"/>
                <w:lang w:val="cs-CZ"/>
              </w:rPr>
              <w:footnoteReference w:id="11"/>
            </w:r>
            <w:r w:rsidRPr="00B1460D">
              <w:rPr>
                <w:rFonts w:ascii="Arial" w:hAnsi="Arial"/>
                <w:lang w:val="cs-CZ"/>
              </w:rPr>
              <w:t xml:space="preserve"> </w:t>
            </w:r>
          </w:p>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 xml:space="preserve">Smlouva není zpracována minimálně v požadovaném rozsahu </w:t>
            </w:r>
          </w:p>
        </w:tc>
        <w:tc>
          <w:tcPr>
            <w:tcW w:w="1260" w:type="dxa"/>
            <w:tcBorders>
              <w:top w:val="single" w:sz="4" w:space="0" w:color="auto"/>
              <w:left w:val="single" w:sz="4" w:space="0" w:color="auto"/>
              <w:bottom w:val="single" w:sz="4" w:space="0" w:color="auto"/>
              <w:right w:val="single" w:sz="4" w:space="0" w:color="auto"/>
            </w:tcBorders>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5 %</w:t>
            </w:r>
            <w:r w:rsidRPr="00B1460D">
              <w:rPr>
                <w:rFonts w:ascii="Arial" w:hAnsi="Arial"/>
                <w:lang w:val="cs-CZ"/>
              </w:rPr>
              <w:br/>
            </w:r>
            <w:r w:rsidRPr="00B1460D">
              <w:rPr>
                <w:rFonts w:ascii="Arial" w:hAnsi="Arial"/>
                <w:lang w:val="cs-CZ"/>
              </w:rPr>
              <w:br/>
            </w:r>
            <w:r w:rsidRPr="00B1460D">
              <w:rPr>
                <w:rFonts w:ascii="Arial" w:hAnsi="Arial"/>
                <w:lang w:val="cs-CZ"/>
              </w:rPr>
              <w:br/>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5 %</w:t>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10 %</w:t>
            </w:r>
            <w:r w:rsidRPr="00B1460D">
              <w:rPr>
                <w:rFonts w:ascii="Arial" w:hAnsi="Arial"/>
                <w:lang w:val="cs-CZ"/>
              </w:rPr>
              <w:br/>
            </w:r>
            <w:r w:rsidRPr="00B1460D">
              <w:rPr>
                <w:rFonts w:ascii="Arial" w:hAnsi="Arial"/>
                <w:lang w:val="cs-CZ"/>
              </w:rPr>
              <w:br/>
              <w:t>5 %</w:t>
            </w:r>
          </w:p>
        </w:tc>
        <w:tc>
          <w:tcPr>
            <w:tcW w:w="1260" w:type="dxa"/>
            <w:tcBorders>
              <w:top w:val="single" w:sz="4" w:space="0" w:color="auto"/>
              <w:left w:val="single" w:sz="4" w:space="0" w:color="auto"/>
              <w:bottom w:val="single" w:sz="4" w:space="0" w:color="auto"/>
              <w:right w:val="single" w:sz="4" w:space="0" w:color="auto"/>
            </w:tcBorders>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20 %</w:t>
            </w:r>
            <w:r w:rsidRPr="00B1460D">
              <w:rPr>
                <w:rFonts w:ascii="Arial" w:hAnsi="Arial"/>
                <w:lang w:val="cs-CZ"/>
              </w:rPr>
              <w:br/>
            </w:r>
            <w:r w:rsidRPr="00B1460D">
              <w:rPr>
                <w:rFonts w:ascii="Arial" w:hAnsi="Arial"/>
                <w:lang w:val="cs-CZ"/>
              </w:rPr>
              <w:br/>
            </w:r>
            <w:r w:rsidRPr="00B1460D">
              <w:rPr>
                <w:rFonts w:ascii="Arial" w:hAnsi="Arial"/>
                <w:lang w:val="cs-CZ"/>
              </w:rPr>
              <w:br/>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20 %</w:t>
            </w:r>
            <w:r w:rsidRPr="00B1460D">
              <w:rPr>
                <w:rFonts w:ascii="Arial" w:hAnsi="Arial"/>
                <w:lang w:val="cs-CZ"/>
              </w:rPr>
              <w:br/>
            </w:r>
          </w:p>
          <w:p w:rsidR="008F3030" w:rsidRPr="00B1460D" w:rsidRDefault="008F3030" w:rsidP="00872ECE">
            <w:pPr>
              <w:pStyle w:val="CharChar1CharCharChar"/>
              <w:tabs>
                <w:tab w:val="decimal" w:pos="397"/>
              </w:tabs>
              <w:spacing w:after="120"/>
              <w:jc w:val="center"/>
              <w:rPr>
                <w:rFonts w:ascii="Arial" w:hAnsi="Arial"/>
                <w:lang w:val="cs-CZ"/>
              </w:rPr>
            </w:pPr>
          </w:p>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r w:rsidRPr="00B1460D">
              <w:rPr>
                <w:rFonts w:ascii="Arial" w:hAnsi="Arial"/>
                <w:lang w:val="cs-CZ"/>
              </w:rPr>
              <w:br/>
            </w:r>
            <w:r w:rsidRPr="00B1460D">
              <w:rPr>
                <w:rFonts w:ascii="Arial" w:hAnsi="Arial"/>
                <w:lang w:val="cs-CZ"/>
              </w:rPr>
              <w:br/>
              <w:t>20 %</w:t>
            </w:r>
          </w:p>
        </w:tc>
      </w:tr>
      <w:tr w:rsidR="008F3030" w:rsidRPr="00B1460D" w:rsidTr="00872ECE">
        <w:trPr>
          <w:trHeight w:val="1374"/>
        </w:trPr>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10</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Zadání dodatečných zakázek na stavební práce či služby při absenci nepředvídaných okolností</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Zadavatel zadal dodatečné zakázky na stavební práce či služby původnímu dodavateli, aniž by byla naplněna podmínka nepředvídanosti dodatečných prací či služeb.</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cs="Times New Roman"/>
                <w:sz w:val="24"/>
                <w:szCs w:val="24"/>
                <w:lang w:val="cs-CZ" w:eastAsia="cs-CZ"/>
              </w:rPr>
              <w:t>40 %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11</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 xml:space="preserve">Porušení povinnosti uchovávat dokumentaci výběrového řízení </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 xml:space="preserve">Zadavatel neuchoval dokumentaci o zakázce a záznamy o elektronických úkonech souvisejících s realizací zakázky v požadovaném rozsahu.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jc w:val="center"/>
              <w:rPr>
                <w:rFonts w:ascii="Arial" w:hAnsi="Arial"/>
                <w:lang w:val="cs-CZ"/>
              </w:rPr>
            </w:pPr>
            <w:r w:rsidRPr="00B1460D">
              <w:rPr>
                <w:rFonts w:ascii="Arial" w:hAnsi="Arial"/>
                <w:lang w:val="cs-CZ"/>
              </w:rPr>
              <w:t>5 %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jc w:val="center"/>
              <w:rPr>
                <w:rFonts w:ascii="Arial" w:hAnsi="Arial"/>
                <w:lang w:val="cs-CZ"/>
              </w:rPr>
            </w:pPr>
            <w:r w:rsidRPr="00B1460D">
              <w:rPr>
                <w:rFonts w:ascii="Arial" w:hAnsi="Arial"/>
                <w:lang w:val="cs-CZ"/>
              </w:rPr>
              <w:t>20 %</w:t>
            </w:r>
          </w:p>
        </w:tc>
      </w:tr>
      <w:tr w:rsidR="008F3030" w:rsidRPr="00B1460D" w:rsidTr="00872ECE">
        <w:tc>
          <w:tcPr>
            <w:tcW w:w="455"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ind w:right="113"/>
              <w:jc w:val="right"/>
              <w:rPr>
                <w:rFonts w:ascii="Arial" w:hAnsi="Arial"/>
                <w:lang w:val="cs-CZ"/>
              </w:rPr>
            </w:pPr>
            <w:r w:rsidRPr="00B1460D">
              <w:rPr>
                <w:rFonts w:ascii="Arial" w:hAnsi="Arial"/>
                <w:lang w:val="cs-CZ"/>
              </w:rPr>
              <w:t>12</w:t>
            </w:r>
          </w:p>
        </w:tc>
        <w:tc>
          <w:tcPr>
            <w:tcW w:w="2409"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spacing w:after="120"/>
              <w:rPr>
                <w:rFonts w:ascii="Arial" w:hAnsi="Arial"/>
                <w:lang w:val="cs-CZ"/>
              </w:rPr>
            </w:pPr>
            <w:r w:rsidRPr="00B1460D">
              <w:rPr>
                <w:rFonts w:ascii="Arial" w:hAnsi="Arial"/>
                <w:lang w:val="cs-CZ"/>
              </w:rPr>
              <w:t>Jiná porušení pravidel</w:t>
            </w:r>
          </w:p>
        </w:tc>
        <w:tc>
          <w:tcPr>
            <w:tcW w:w="4726"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F3030">
            <w:pPr>
              <w:pStyle w:val="CharChar1CharCharChar"/>
              <w:numPr>
                <w:ilvl w:val="0"/>
                <w:numId w:val="37"/>
              </w:numPr>
              <w:tabs>
                <w:tab w:val="num" w:pos="121"/>
              </w:tabs>
              <w:spacing w:after="120"/>
              <w:ind w:left="121" w:hanging="141"/>
              <w:rPr>
                <w:rFonts w:ascii="Arial" w:hAnsi="Arial"/>
                <w:lang w:val="cs-CZ"/>
              </w:rPr>
            </w:pPr>
            <w:r w:rsidRPr="00B1460D">
              <w:rPr>
                <w:rFonts w:ascii="Arial" w:hAnsi="Arial"/>
                <w:lang w:val="cs-CZ"/>
              </w:rPr>
              <w:t>Pochybení formálního charakteru, která neměla vliv na výběr nejvhodnější nabídky.</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0 %</w:t>
            </w:r>
          </w:p>
        </w:tc>
        <w:tc>
          <w:tcPr>
            <w:tcW w:w="1260" w:type="dxa"/>
            <w:tcBorders>
              <w:top w:val="single" w:sz="4" w:space="0" w:color="auto"/>
              <w:left w:val="single" w:sz="4" w:space="0" w:color="auto"/>
              <w:bottom w:val="single" w:sz="4" w:space="0" w:color="auto"/>
              <w:right w:val="single" w:sz="4" w:space="0" w:color="auto"/>
            </w:tcBorders>
            <w:hideMark/>
          </w:tcPr>
          <w:p w:rsidR="008F3030" w:rsidRPr="00B1460D" w:rsidRDefault="008F3030" w:rsidP="00872ECE">
            <w:pPr>
              <w:pStyle w:val="CharChar1CharCharChar"/>
              <w:tabs>
                <w:tab w:val="decimal" w:pos="397"/>
              </w:tabs>
              <w:spacing w:after="120"/>
              <w:jc w:val="center"/>
              <w:rPr>
                <w:rFonts w:ascii="Arial" w:hAnsi="Arial"/>
                <w:lang w:val="cs-CZ"/>
              </w:rPr>
            </w:pPr>
            <w:r w:rsidRPr="00B1460D">
              <w:rPr>
                <w:rFonts w:ascii="Arial" w:hAnsi="Arial"/>
                <w:lang w:val="cs-CZ"/>
              </w:rPr>
              <w:t>2 %</w:t>
            </w:r>
          </w:p>
        </w:tc>
      </w:tr>
    </w:tbl>
    <w:p w:rsidR="00D8062D" w:rsidRPr="00B1460D" w:rsidRDefault="00D8062D" w:rsidP="008F3030">
      <w:pPr>
        <w:rPr>
          <w:rFonts w:ascii="Arial" w:hAnsi="Arial" w:cs="Arial"/>
          <w:b/>
          <w:bCs/>
          <w:sz w:val="26"/>
          <w:szCs w:val="26"/>
          <w:u w:val="single"/>
        </w:rPr>
      </w:pPr>
    </w:p>
    <w:p w:rsidR="008F3030" w:rsidRPr="00B1460D" w:rsidRDefault="008F3030" w:rsidP="008F3030">
      <w:pPr>
        <w:rPr>
          <w:rFonts w:ascii="Arial" w:hAnsi="Arial" w:cs="Arial"/>
          <w:b/>
          <w:bCs/>
          <w:sz w:val="26"/>
          <w:szCs w:val="26"/>
          <w:u w:val="single"/>
        </w:rPr>
      </w:pPr>
      <w:r w:rsidRPr="00B1460D">
        <w:rPr>
          <w:rFonts w:ascii="Arial" w:hAnsi="Arial" w:cs="Arial"/>
          <w:b/>
          <w:bCs/>
          <w:sz w:val="26"/>
          <w:szCs w:val="26"/>
          <w:u w:val="single"/>
        </w:rPr>
        <w:t>Tabulka č. 2 Přehled pochybení v rámci realizace výběrových řízení spadající pod aplikaci zákona č. 137/2006 Sb., o veřejných zakázkách a sazby pro výpočet nižšího odvodu za tato pochybení</w:t>
      </w:r>
    </w:p>
    <w:p w:rsidR="008F3030" w:rsidRPr="00B1460D" w:rsidRDefault="008F3030" w:rsidP="008F3030">
      <w:pPr>
        <w:rPr>
          <w:rFonts w:ascii="Arial" w:hAnsi="Arial" w:cs="Arial"/>
          <w:b/>
          <w:bCs/>
          <w:sz w:val="26"/>
          <w:szCs w:val="26"/>
          <w:u w:val="single"/>
        </w:rPr>
      </w:pPr>
    </w:p>
    <w:p w:rsidR="008F3030" w:rsidRPr="00B1460D" w:rsidRDefault="008F3030" w:rsidP="008F3030">
      <w:pPr>
        <w:rPr>
          <w:rFonts w:ascii="Arial" w:hAnsi="Arial" w:cs="Arial"/>
          <w:sz w:val="22"/>
          <w:szCs w:val="20"/>
        </w:rPr>
      </w:pPr>
      <w:r w:rsidRPr="00B1460D">
        <w:rPr>
          <w:rFonts w:ascii="Arial" w:hAnsi="Arial" w:cs="Arial"/>
          <w:sz w:val="22"/>
          <w:szCs w:val="20"/>
        </w:rPr>
        <w:t>Výše a sazby nižších odvodů uvedené v přiložené tabulce se použijí v jednotlivých případech zjištěných nesrovnalostí způsobených porušením pravidel pro veřejné zakázky zadávaných dle zákona č. 137/2006 Sb., o veřejných zakázkách ve znění pozdějších předpisů.</w:t>
      </w:r>
    </w:p>
    <w:p w:rsidR="008F3030" w:rsidRPr="00B1460D" w:rsidRDefault="008F3030" w:rsidP="008F3030">
      <w:pPr>
        <w:rPr>
          <w:rFonts w:ascii="Arial" w:hAnsi="Arial" w:cs="Arial"/>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984"/>
        <w:gridCol w:w="3036"/>
        <w:gridCol w:w="1206"/>
        <w:gridCol w:w="2623"/>
      </w:tblGrid>
      <w:tr w:rsidR="008F3030" w:rsidRPr="00B1460D" w:rsidTr="00872ECE">
        <w:trPr>
          <w:trHeight w:val="839"/>
        </w:trPr>
        <w:tc>
          <w:tcPr>
            <w:tcW w:w="5000" w:type="pct"/>
            <w:gridSpan w:val="5"/>
            <w:shd w:val="clear" w:color="auto" w:fill="auto"/>
            <w:vAlign w:val="center"/>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A. ZAKÁZKY, NA NĚŽ SE VZTAHUJÍ SMĚRNICE SPOLEČENSTVÍ O ZADÁVÁNÍ VEŘEJNÝCH ZAKÁZEK (nadlimitní zakázky)</w:t>
            </w:r>
          </w:p>
        </w:tc>
      </w:tr>
      <w:tr w:rsidR="008F3030" w:rsidRPr="00B1460D" w:rsidTr="00872ECE">
        <w:trPr>
          <w:trHeight w:val="915"/>
        </w:trPr>
        <w:tc>
          <w:tcPr>
            <w:tcW w:w="226"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Č.</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Porušená povinnost</w:t>
            </w:r>
          </w:p>
        </w:tc>
        <w:tc>
          <w:tcPr>
            <w:tcW w:w="1654"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Podrobnější popis porušení</w:t>
            </w:r>
          </w:p>
        </w:tc>
        <w:tc>
          <w:tcPr>
            <w:tcW w:w="656"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Poznámka</w:t>
            </w:r>
          </w:p>
        </w:tc>
        <w:tc>
          <w:tcPr>
            <w:tcW w:w="1442"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Procentní rozmezí sazby pro výpočet nižšího odvodu</w:t>
            </w:r>
          </w:p>
        </w:tc>
      </w:tr>
      <w:tr w:rsidR="008F3030" w:rsidRPr="00B1460D" w:rsidTr="00872ECE">
        <w:trPr>
          <w:trHeight w:val="1245"/>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1</w:t>
            </w:r>
          </w:p>
        </w:tc>
        <w:tc>
          <w:tcPr>
            <w:tcW w:w="1021"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Nedodržení postupů zveřejňování </w:t>
            </w:r>
          </w:p>
        </w:tc>
        <w:tc>
          <w:tcPr>
            <w:tcW w:w="165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Zakázka byla zadána, aniž by byly dodrženy požadavky na zveřejňování uvedené ve směrnicích Společenství o zadávání veřejných zakázek, s výjimkou případů uvedených pod číslem 2 níže. Jedná se o zjevné nedodržení jedné z podmínek spolufinancování Společenstvím.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hodnoty dotčené zakázky - nižší odvod se neuplatní</w:t>
            </w:r>
          </w:p>
        </w:tc>
      </w:tr>
      <w:tr w:rsidR="008F3030" w:rsidRPr="00B1460D" w:rsidTr="00872ECE">
        <w:trPr>
          <w:trHeight w:val="57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vMerge/>
            <w:shd w:val="clear" w:color="auto" w:fill="auto"/>
            <w:hideMark/>
          </w:tcPr>
          <w:p w:rsidR="008F3030" w:rsidRPr="00B1460D" w:rsidRDefault="008F3030" w:rsidP="00872ECE">
            <w:pPr>
              <w:rPr>
                <w:rFonts w:ascii="Arial" w:hAnsi="Arial" w:cs="Arial"/>
                <w:b/>
                <w:bCs/>
                <w:sz w:val="20"/>
                <w:szCs w:val="20"/>
              </w:rPr>
            </w:pPr>
          </w:p>
        </w:tc>
        <w:tc>
          <w:tcPr>
            <w:tcW w:w="1654" w:type="pct"/>
            <w:vMerge/>
            <w:shd w:val="clear" w:color="auto" w:fill="auto"/>
            <w:hideMark/>
          </w:tcPr>
          <w:p w:rsidR="008F3030" w:rsidRPr="00B1460D" w:rsidRDefault="008F3030" w:rsidP="00872ECE">
            <w:pPr>
              <w:rPr>
                <w:rFonts w:ascii="Arial" w:hAnsi="Arial" w:cs="Arial"/>
                <w:sz w:val="20"/>
                <w:szCs w:val="20"/>
              </w:rPr>
            </w:pP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725"/>
        </w:trPr>
        <w:tc>
          <w:tcPr>
            <w:tcW w:w="226"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Nedodržení postupů zveřejňování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Zakázka byla zadána, aniž by byly dodrženy požadavky na zveřejňování uvedené ve směrnicích Společenství o zadávání veřejných zakázek, nicméně byla dodržena určitá míra zveřejnění, která umožnila hospodářským subjektům umístěným na území jiného členské státu přístup k dotčené zakázce.</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20 - 25 % hodnoty dotčené zakázky</w:t>
            </w:r>
          </w:p>
        </w:tc>
      </w:tr>
      <w:tr w:rsidR="008F3030" w:rsidRPr="00B1460D" w:rsidTr="00872ECE">
        <w:trPr>
          <w:trHeight w:val="1005"/>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3</w:t>
            </w:r>
          </w:p>
        </w:tc>
        <w:tc>
          <w:tcPr>
            <w:tcW w:w="1021"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Veřejné zakázky přidělené bez veřejné soutěže při neexistenci krajní naléhavosti</w:t>
            </w:r>
            <w:r w:rsidRPr="00B1460D">
              <w:rPr>
                <w:rFonts w:ascii="Arial" w:hAnsi="Arial" w:cs="Arial"/>
                <w:sz w:val="20"/>
                <w:szCs w:val="20"/>
              </w:rPr>
              <w:t xml:space="preserve"> </w:t>
            </w:r>
            <w:r w:rsidRPr="00B1460D">
              <w:rPr>
                <w:rFonts w:ascii="Arial" w:hAnsi="Arial" w:cs="Arial"/>
                <w:b/>
                <w:bCs/>
                <w:sz w:val="20"/>
                <w:szCs w:val="20"/>
              </w:rPr>
              <w:t>způsobené nepředvídatelnými událostm</w:t>
            </w:r>
            <w:r w:rsidRPr="00B1460D">
              <w:rPr>
                <w:rFonts w:ascii="Arial" w:hAnsi="Arial" w:cs="Arial"/>
                <w:sz w:val="20"/>
                <w:szCs w:val="20"/>
              </w:rPr>
              <w:t>i</w:t>
            </w:r>
            <w:r w:rsidRPr="00B1460D">
              <w:rPr>
                <w:rFonts w:ascii="Arial" w:hAnsi="Arial" w:cs="Arial"/>
                <w:b/>
                <w:bCs/>
                <w:sz w:val="20"/>
                <w:szCs w:val="20"/>
              </w:rPr>
              <w:t xml:space="preserve"> nebo v případě dodatečných prací,  služeb či dodávek při neexistenci nepředvídané okolnosti. </w:t>
            </w:r>
          </w:p>
        </w:tc>
        <w:tc>
          <w:tcPr>
            <w:tcW w:w="165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Při zadání hlavní zakázky byly dodrženy směrnice Společenství o zadávání veřejných zakázek, nicméně následovalo zadání jedné nebo více dodatečných zakázek (v písemné formě či nikoliv), </w:t>
            </w:r>
            <w:r w:rsidRPr="00B1460D">
              <w:rPr>
                <w:rFonts w:ascii="Arial" w:hAnsi="Arial" w:cs="Arial"/>
                <w:b/>
                <w:bCs/>
                <w:sz w:val="20"/>
                <w:szCs w:val="20"/>
              </w:rPr>
              <w:t xml:space="preserve">při nichž nebyla dodržena ustanovení směrnic o zadávání veřejných zakázek, </w:t>
            </w:r>
            <w:r w:rsidRPr="00B1460D">
              <w:rPr>
                <w:rFonts w:ascii="Arial" w:hAnsi="Arial" w:cs="Arial"/>
                <w:sz w:val="20"/>
                <w:szCs w:val="20"/>
              </w:rPr>
              <w:t xml:space="preserve">zejména ustanovení o použití vyjednávacího řízení bez zveřejnění veřejné zakázky z důvodu krajní naléhavosti způsobené nepředvídatelnými událostmi nebo v případě přidělení zakázek na dodatečné dodávky, práce nebo služby.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25 - 100 % hodnoty dotčené zakázky (dotčených zakázek)</w:t>
            </w:r>
          </w:p>
        </w:tc>
      </w:tr>
      <w:tr w:rsidR="008F3030" w:rsidRPr="00B1460D" w:rsidTr="00872ECE">
        <w:trPr>
          <w:trHeight w:val="417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vMerge/>
            <w:shd w:val="clear" w:color="auto" w:fill="auto"/>
            <w:hideMark/>
          </w:tcPr>
          <w:p w:rsidR="008F3030" w:rsidRPr="00B1460D" w:rsidRDefault="008F3030" w:rsidP="00872ECE">
            <w:pPr>
              <w:rPr>
                <w:rFonts w:ascii="Arial" w:hAnsi="Arial" w:cs="Arial"/>
                <w:b/>
                <w:bCs/>
                <w:sz w:val="20"/>
                <w:szCs w:val="20"/>
              </w:rPr>
            </w:pPr>
          </w:p>
        </w:tc>
        <w:tc>
          <w:tcPr>
            <w:tcW w:w="1654" w:type="pct"/>
            <w:vMerge/>
            <w:shd w:val="clear" w:color="auto" w:fill="auto"/>
            <w:hideMark/>
          </w:tcPr>
          <w:p w:rsidR="008F3030" w:rsidRPr="00B1460D" w:rsidRDefault="008F3030" w:rsidP="00872ECE">
            <w:pPr>
              <w:rPr>
                <w:rFonts w:ascii="Arial" w:hAnsi="Arial" w:cs="Arial"/>
                <w:sz w:val="20"/>
                <w:szCs w:val="20"/>
              </w:rPr>
            </w:pP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V případě, že celková hodnota dodatečných zakázek zadaných (v písemné formě či nikoliv) bez dodržení ustanovení směrnic o zadávání veřejných zakázek nepřekročí prahové hodnoty stanovené směrnicemi ani 20 % hodnoty hlavní zakázky, je možno použít sazbu 25 %.</w:t>
            </w:r>
          </w:p>
        </w:tc>
      </w:tr>
      <w:tr w:rsidR="008F3030" w:rsidRPr="00B1460D" w:rsidTr="00872ECE">
        <w:trPr>
          <w:trHeight w:val="1500"/>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4</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Dodatečné stavební práce nebo služby překračující mezní hodnoty stanovené směrnicemi, provedené za nepředvídaných okolností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Při zadání hlavní zakázky byla dodržena ustanovení směrnic Společenství, nicméně následovalo zadání jedné nebo více dodatečných zakázek překračujících hodnotu původní zakázky o více než 20 %.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částky překračující 20 % hodnoty původní zakázky - nižší odvod se neuplatní</w:t>
            </w:r>
          </w:p>
        </w:tc>
      </w:tr>
      <w:tr w:rsidR="008F3030" w:rsidRPr="00B1460D" w:rsidTr="00872ECE">
        <w:trPr>
          <w:trHeight w:val="1425"/>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Samotné dodatečné práce nepředstavují samostatnou práci ve smyslu čl. 1 písm. c) směrnice 93/37 nebo čl. 1 odst. 2 písm. a) a b) směrnice 2004/18 nebo zvláštní službu ve smyslu čl. 1 písm. a) směrnice 92/50 nebo čl. 1 odst. 2 písm. a) a d) směrnice 2004/18.</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71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V případech, kdy dodatečné práce nebo služby překročí prahové hodnoty uvedené ve směrnicích a představují samostatnou práci nebo službu, je třeba pro použití směrnic o zadávání veřejných zakázek vzít v úvahu celkovou hodnotu všech dodatečných prací nebo služeb.</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14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Pokud dodatečné práce nebo služby představují samostatnou práci nebo službu překračující prahové hodnoty uvedené ve směrnicích, použije se výše uvedený bod 1.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335"/>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Pokud dodatečné práce nebo služby představují samostatnou práci nebo službu, ale nepřekračující prahové hodnoty uvedené ve směrnicích, použije se níže uvedený bod 21.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800"/>
        </w:trPr>
        <w:tc>
          <w:tcPr>
            <w:tcW w:w="226"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5</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Neuvedení všech kritérií pro ověření vhodnosti a výběr účastníků a udělení zakázky v zadávací dokumentaci nebo v oznámení o zakázce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Při udělení zakázky byla dodržena pravidla pro zveřejňování stanovená směrnicemi o zadávání veřejných zakázek, ale v zadávací dokumentaci nebo v oznámení o zakázce nebyla uvedena nebo dostatečně popsána všechna kritéria pro ověření vhodnosti a výběr účastníků a/nebo udělení zakázky.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5 - 25 % hodnoty zakázky dle závažnosti (obvyklé odstupňování 5 %, 10 %, 25 %).</w:t>
            </w:r>
          </w:p>
        </w:tc>
      </w:tr>
      <w:tr w:rsidR="008F3030" w:rsidRPr="00B1460D" w:rsidTr="00872ECE">
        <w:trPr>
          <w:trHeight w:val="2010"/>
        </w:trPr>
        <w:tc>
          <w:tcPr>
            <w:tcW w:w="226"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6</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Použití nezákonných kritérií pro udělení zakázky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Při udělení zakázky byla použita nezákonná kritéria pro zadání zakázky (například: použití kritéria pro ověření vhodnosti a výběr účastníků ve fázi  zadání zakázky, nedodržení kritérií stanovených veřejným zadavatelem v oznámení o zakázce nebo v zadávací dokumentaci nebo nesprávné a/nebo diskriminační použití kritérií pro zadání zakázky).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5 - 25 % hodnoty zakázky dle závažnosti (obvyklé odstupňování 5 %, 10 %, 25 %).</w:t>
            </w:r>
          </w:p>
        </w:tc>
      </w:tr>
      <w:tr w:rsidR="008F3030" w:rsidRPr="00B1460D" w:rsidTr="00872ECE">
        <w:trPr>
          <w:trHeight w:val="315"/>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7</w:t>
            </w:r>
          </w:p>
        </w:tc>
        <w:tc>
          <w:tcPr>
            <w:tcW w:w="1021"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Nezákonná kritéria pro ověření vhodnosti a výběr účastníků a/nebo udělení zakázky stanovená během výběrového řízení </w:t>
            </w:r>
          </w:p>
        </w:tc>
        <w:tc>
          <w:tcPr>
            <w:tcW w:w="165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Případy, kdy některé subjekty byly od podání nabídek odrazeny z důvodu nezákonných omezení stanovených v oznámení o zakázce nebo v příslušné zadávací dokumentaci (například povinnost mít v dané zemi nebo regionu sídlo nebo zástupce, stejně jako stanovení příliš specifických technických norem, které upřednostňují jeden subjekt, nebo požadavek mít zkušenosti v daném regionu atd.).</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25 - 100 % hodnoty zakázky. </w:t>
            </w:r>
          </w:p>
        </w:tc>
      </w:tr>
      <w:tr w:rsidR="008F3030" w:rsidRPr="00B1460D" w:rsidTr="00872ECE">
        <w:trPr>
          <w:trHeight w:val="201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vMerge/>
            <w:shd w:val="clear" w:color="auto" w:fill="auto"/>
            <w:hideMark/>
          </w:tcPr>
          <w:p w:rsidR="008F3030" w:rsidRPr="00B1460D" w:rsidRDefault="008F3030" w:rsidP="00872ECE">
            <w:pPr>
              <w:rPr>
                <w:rFonts w:ascii="Arial" w:hAnsi="Arial" w:cs="Arial"/>
                <w:b/>
                <w:bCs/>
                <w:sz w:val="20"/>
                <w:szCs w:val="20"/>
              </w:rPr>
            </w:pPr>
          </w:p>
        </w:tc>
        <w:tc>
          <w:tcPr>
            <w:tcW w:w="1654" w:type="pct"/>
            <w:vMerge/>
            <w:shd w:val="clear" w:color="auto" w:fill="auto"/>
            <w:hideMark/>
          </w:tcPr>
          <w:p w:rsidR="008F3030" w:rsidRPr="00B1460D" w:rsidRDefault="008F3030" w:rsidP="00872ECE">
            <w:pPr>
              <w:rPr>
                <w:rFonts w:ascii="Arial" w:hAnsi="Arial" w:cs="Arial"/>
                <w:sz w:val="20"/>
                <w:szCs w:val="20"/>
              </w:rPr>
            </w:pP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(V nejzávažnějších případech, kdy existuje vědomý záměr vyloučit některé uchazeče, je možno stanovit odvod ve výši 100 % hodnoty zakázky).</w:t>
            </w:r>
          </w:p>
        </w:tc>
      </w:tr>
      <w:tr w:rsidR="008F3030" w:rsidRPr="00B1460D" w:rsidTr="00872ECE">
        <w:trPr>
          <w:trHeight w:val="1155"/>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8</w:t>
            </w:r>
          </w:p>
        </w:tc>
        <w:tc>
          <w:tcPr>
            <w:tcW w:w="1021"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Nedostatečná nebo diskriminační definice předmětu zakázky </w:t>
            </w:r>
          </w:p>
        </w:tc>
        <w:tc>
          <w:tcPr>
            <w:tcW w:w="165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Zadávací dokumentace nebo oznámení o zakázce obsahuje diskriminační nebo nedostatečný popis (s ohledem na to, aby uchazeči mohli určit předmět zakázky a veřejní zadavatelé zakázku zadat).</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5 - 25 % hodnoty zakázky dle závažnosti (obvyklé odstupňování 5 %, 10 %, 25 %).</w:t>
            </w:r>
          </w:p>
        </w:tc>
      </w:tr>
      <w:tr w:rsidR="008F3030" w:rsidRPr="00B1460D" w:rsidTr="00872ECE">
        <w:trPr>
          <w:trHeight w:val="30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vMerge/>
            <w:shd w:val="clear" w:color="auto" w:fill="auto"/>
            <w:hideMark/>
          </w:tcPr>
          <w:p w:rsidR="008F3030" w:rsidRPr="00B1460D" w:rsidRDefault="008F3030" w:rsidP="00872ECE">
            <w:pPr>
              <w:rPr>
                <w:rFonts w:ascii="Arial" w:hAnsi="Arial" w:cs="Arial"/>
                <w:b/>
                <w:bCs/>
                <w:sz w:val="20"/>
                <w:szCs w:val="20"/>
              </w:rPr>
            </w:pPr>
          </w:p>
        </w:tc>
        <w:tc>
          <w:tcPr>
            <w:tcW w:w="1654" w:type="pct"/>
            <w:vMerge/>
            <w:shd w:val="clear" w:color="auto" w:fill="auto"/>
            <w:hideMark/>
          </w:tcPr>
          <w:p w:rsidR="008F3030" w:rsidRPr="00B1460D" w:rsidRDefault="008F3030" w:rsidP="00872ECE">
            <w:pPr>
              <w:rPr>
                <w:rFonts w:ascii="Arial" w:hAnsi="Arial" w:cs="Arial"/>
                <w:sz w:val="20"/>
                <w:szCs w:val="20"/>
              </w:rPr>
            </w:pP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725"/>
        </w:trPr>
        <w:tc>
          <w:tcPr>
            <w:tcW w:w="226"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9</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Vyjednávání během výběrového řízení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Zakázka byla udělena v otevřeném nebo omezeném řízení, ale veřejný zadavatel s uchazeči během výběrového řízení vyjednával, s výjimkou případů, kdy výhradním cílem těchto jednání bylo vyjasnit nebo doplnit obsah jejich nabídek nebo upřesnit povinnosti zadavatele.</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5 - 25 % hodnoty zakázky dle závažnosti (obvyklé odstupňování 5 %, 10 %, 25 %).</w:t>
            </w:r>
          </w:p>
        </w:tc>
      </w:tr>
      <w:tr w:rsidR="008F3030" w:rsidRPr="00B1460D" w:rsidTr="00872ECE">
        <w:trPr>
          <w:trHeight w:val="1140"/>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10</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Snížení hmotného předmětu zakázky</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Při zadání zakázky byly dodrženy směrnice o zadávání veřejných zakázek, nicméně poté došlo ke snížení hmotného předmětu zakázky, aniž by byla odpovídajícím způsobem snížena hodnota zakázky.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Částka, která představuje snížení hmotného předmětu</w:t>
            </w:r>
          </w:p>
        </w:tc>
      </w:tr>
      <w:tr w:rsidR="008F3030" w:rsidRPr="00B1460D" w:rsidTr="00872ECE">
        <w:trPr>
          <w:trHeight w:val="855"/>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(Tato oprava se použije i v případě, že se částka, o níž byl předmět zakázky snížen, použije k provedení dalších prací.)</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plus</w:t>
            </w:r>
          </w:p>
        </w:tc>
      </w:tr>
      <w:tr w:rsidR="008F3030" w:rsidRPr="00B1460D" w:rsidTr="00872ECE">
        <w:trPr>
          <w:trHeight w:val="87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20 - 25 % konečné hodnoty hmotného předmětu</w:t>
            </w:r>
          </w:p>
        </w:tc>
      </w:tr>
      <w:tr w:rsidR="008F3030" w:rsidRPr="00B1460D" w:rsidTr="00872ECE">
        <w:trPr>
          <w:trHeight w:val="1425"/>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11</w:t>
            </w: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Snížení hmotného předmětu zakázky</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Při zadání zakázky byly dodrženy směrnice o zadávání veřejných zakázek, nicméně poté došlo ke snížení hmotného předmětu zakázky a k odpovídajícímu snížení hodnoty již uskutečněné zakázky.</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 20 - 25 % konečné hodnoty hmotného předmětu</w:t>
            </w:r>
          </w:p>
        </w:tc>
      </w:tr>
      <w:tr w:rsidR="008F3030" w:rsidRPr="00B1460D" w:rsidTr="00872ECE">
        <w:trPr>
          <w:trHeight w:val="87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(Tato oprava se použije i v případě, že se částka, o níž byl předmět zakázky snížen, použije k provedení neoprávněných dodatečných zakázek.)</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140"/>
        </w:trPr>
        <w:tc>
          <w:tcPr>
            <w:tcW w:w="226"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12</w:t>
            </w:r>
          </w:p>
        </w:tc>
        <w:tc>
          <w:tcPr>
            <w:tcW w:w="1021"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Nesprávné použití některých méně podstatných ustanovení</w:t>
            </w: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Při zadání zakázky byla dodržena ustanovení směrnic o zadávání veřejných zakázek, nicméně nebyly dodrženy některé méně podstatné prvky, jako je zveřejnění oznámení o zadání zakázky.</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2 - 10 % hodnoty zakázky podle závažnosti porušení a/nebo v opakovaných případech (obvyklé odstupňování 2 %, 5 %, 10 %).</w:t>
            </w:r>
          </w:p>
        </w:tc>
      </w:tr>
      <w:tr w:rsidR="008F3030" w:rsidRPr="00B1460D" w:rsidTr="00872ECE">
        <w:trPr>
          <w:trHeight w:val="870"/>
        </w:trPr>
        <w:tc>
          <w:tcPr>
            <w:tcW w:w="226" w:type="pct"/>
            <w:vMerge/>
            <w:shd w:val="clear" w:color="auto" w:fill="auto"/>
            <w:hideMark/>
          </w:tcPr>
          <w:p w:rsidR="008F3030" w:rsidRPr="00B1460D" w:rsidRDefault="008F3030" w:rsidP="00872ECE">
            <w:pPr>
              <w:rPr>
                <w:rFonts w:ascii="Arial" w:hAnsi="Arial" w:cs="Arial"/>
                <w:b/>
                <w:bCs/>
                <w:sz w:val="20"/>
                <w:szCs w:val="20"/>
              </w:rPr>
            </w:pPr>
          </w:p>
        </w:tc>
        <w:tc>
          <w:tcPr>
            <w:tcW w:w="1021" w:type="pct"/>
            <w:vMerge/>
            <w:shd w:val="clear" w:color="auto" w:fill="auto"/>
            <w:hideMark/>
          </w:tcPr>
          <w:p w:rsidR="008F3030" w:rsidRPr="00B1460D" w:rsidRDefault="008F3030" w:rsidP="00872ECE">
            <w:pPr>
              <w:rPr>
                <w:rFonts w:ascii="Arial" w:hAnsi="Arial" w:cs="Arial"/>
                <w:b/>
                <w:bCs/>
                <w:sz w:val="20"/>
                <w:szCs w:val="20"/>
              </w:rPr>
            </w:pPr>
          </w:p>
        </w:tc>
        <w:tc>
          <w:tcPr>
            <w:tcW w:w="165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Poznámka: Pokud má tento druh nesrovnalosti pouze formální charakter bez případného finančního dopadu, nepoužije se žádná oprava. </w:t>
            </w:r>
          </w:p>
        </w:tc>
        <w:tc>
          <w:tcPr>
            <w:tcW w:w="656"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442" w:type="pct"/>
            <w:vMerge/>
            <w:shd w:val="clear" w:color="auto" w:fill="auto"/>
            <w:hideMark/>
          </w:tcPr>
          <w:p w:rsidR="008F3030" w:rsidRPr="00B1460D" w:rsidRDefault="008F3030" w:rsidP="00872ECE">
            <w:pPr>
              <w:rPr>
                <w:rFonts w:ascii="Arial" w:hAnsi="Arial" w:cs="Arial"/>
                <w:sz w:val="20"/>
                <w:szCs w:val="20"/>
              </w:rPr>
            </w:pPr>
          </w:p>
        </w:tc>
      </w:tr>
    </w:tbl>
    <w:p w:rsidR="008F3030" w:rsidRPr="00B1460D" w:rsidRDefault="008F3030" w:rsidP="008F3030">
      <w:pPr>
        <w:rPr>
          <w:rFonts w:ascii="Arial" w:hAnsi="Arial" w:cs="Arial"/>
        </w:rPr>
      </w:pPr>
    </w:p>
    <w:tbl>
      <w:tblPr>
        <w:tblW w:w="51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984"/>
        <w:gridCol w:w="4349"/>
        <w:gridCol w:w="1206"/>
        <w:gridCol w:w="1630"/>
      </w:tblGrid>
      <w:tr w:rsidR="008F3030" w:rsidRPr="00B1460D" w:rsidTr="00872ECE">
        <w:trPr>
          <w:trHeight w:val="848"/>
        </w:trPr>
        <w:tc>
          <w:tcPr>
            <w:tcW w:w="5000" w:type="pct"/>
            <w:gridSpan w:val="5"/>
            <w:shd w:val="clear" w:color="auto" w:fill="auto"/>
            <w:vAlign w:val="center"/>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B. ZAKÁZKY, NA KTERÉ SE PLNĚ NEBO ČÁSTEČNĚ NEVZTAHUJÍ SMĚRNICE SPOLEČENSTVÍ O ZADÁVÁNÍ VEŘEJNÝCH ZAKÁZEK (podlimitní zakázky)</w:t>
            </w:r>
          </w:p>
        </w:tc>
      </w:tr>
      <w:tr w:rsidR="008F3030" w:rsidRPr="00B1460D" w:rsidTr="00872ECE">
        <w:trPr>
          <w:trHeight w:val="915"/>
        </w:trPr>
        <w:tc>
          <w:tcPr>
            <w:tcW w:w="219"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Č.</w:t>
            </w:r>
          </w:p>
        </w:tc>
        <w:tc>
          <w:tcPr>
            <w:tcW w:w="988"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Porušená povinnost</w:t>
            </w:r>
          </w:p>
        </w:tc>
        <w:tc>
          <w:tcPr>
            <w:tcW w:w="2304"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Podrobnější popis porušení</w:t>
            </w:r>
          </w:p>
        </w:tc>
        <w:tc>
          <w:tcPr>
            <w:tcW w:w="600"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Poznámka</w:t>
            </w:r>
          </w:p>
        </w:tc>
        <w:tc>
          <w:tcPr>
            <w:tcW w:w="889"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Procentní rozmezí sazby pro výpočet nižšího odvodu</w:t>
            </w:r>
          </w:p>
        </w:tc>
      </w:tr>
      <w:tr w:rsidR="008F3030" w:rsidRPr="00B1460D" w:rsidTr="00872ECE">
        <w:trPr>
          <w:trHeight w:val="900"/>
        </w:trPr>
        <w:tc>
          <w:tcPr>
            <w:tcW w:w="219"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21</w:t>
            </w:r>
          </w:p>
        </w:tc>
        <w:tc>
          <w:tcPr>
            <w:tcW w:w="988"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Nedodržení odpovídajícího stupně zveřejnění a transparentnosti </w:t>
            </w:r>
          </w:p>
        </w:tc>
        <w:tc>
          <w:tcPr>
            <w:tcW w:w="230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Zakázka byla zadána bez vyhlášení odpovídající veřejné soutěže, což ukazuje na nedodržení zásady transparentnosti.</w:t>
            </w: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1 - 25 % hodnoty zakázky. </w:t>
            </w:r>
            <w:r w:rsidRPr="00B1460D">
              <w:rPr>
                <w:rFonts w:ascii="Arial" w:hAnsi="Arial" w:cs="Arial"/>
                <w:sz w:val="20"/>
                <w:szCs w:val="20"/>
              </w:rPr>
              <w:br/>
              <w:t>V případě, kdy příjemce nevyzval stanovený počet dodavatelů k podání nabídky a výzvu k podání nabídky předepsaným způsobem zveřejnil a na základě takového zveřejnění obdržel počet nabídek odpovídající stanovenému počtu povinně vyzvaných dodavatelů, uplatní se korekce ve výši 1% hodnoty zakázky.</w:t>
            </w:r>
          </w:p>
        </w:tc>
      </w:tr>
      <w:tr w:rsidR="008F3030" w:rsidRPr="00B1460D" w:rsidTr="00872ECE">
        <w:trPr>
          <w:trHeight w:val="4035"/>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2715"/>
        </w:trPr>
        <w:tc>
          <w:tcPr>
            <w:tcW w:w="219"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22</w:t>
            </w:r>
          </w:p>
        </w:tc>
        <w:tc>
          <w:tcPr>
            <w:tcW w:w="988"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Veřejné zakázky přidělené bez příslušné veřejné soutěže při neexistenci (i) krajní naléhavosti</w:t>
            </w:r>
            <w:r w:rsidRPr="00B1460D">
              <w:rPr>
                <w:rFonts w:ascii="Arial" w:hAnsi="Arial" w:cs="Arial"/>
                <w:sz w:val="20"/>
                <w:szCs w:val="20"/>
              </w:rPr>
              <w:t xml:space="preserve"> </w:t>
            </w:r>
            <w:r w:rsidRPr="00B1460D">
              <w:rPr>
                <w:rFonts w:ascii="Arial" w:hAnsi="Arial" w:cs="Arial"/>
                <w:b/>
                <w:bCs/>
                <w:sz w:val="20"/>
                <w:szCs w:val="20"/>
              </w:rPr>
              <w:t>způsobené nepředvídatelnými událostm</w:t>
            </w:r>
            <w:r w:rsidRPr="00B1460D">
              <w:rPr>
                <w:rFonts w:ascii="Arial" w:hAnsi="Arial" w:cs="Arial"/>
                <w:sz w:val="20"/>
                <w:szCs w:val="20"/>
              </w:rPr>
              <w:t>i</w:t>
            </w:r>
            <w:r w:rsidRPr="00B1460D">
              <w:rPr>
                <w:rFonts w:ascii="Arial" w:hAnsi="Arial" w:cs="Arial"/>
                <w:b/>
                <w:bCs/>
                <w:sz w:val="20"/>
                <w:szCs w:val="20"/>
              </w:rPr>
              <w:t xml:space="preserve"> nebo (ii) v případě dodatečných prací, a služeb nepředvídanými okolnostmi.</w:t>
            </w:r>
          </w:p>
        </w:tc>
        <w:tc>
          <w:tcPr>
            <w:tcW w:w="230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Hlavní zakázka byla zadána na základě příslušné veřejné soutěže, nicméně následovalo zadání jedné nebo několika dodatečných zakázek (v písemné formě či nikoliv) bez příslušné veřejné soutěže při neexistenci krajní naléhavosti způsobené nepředvídatelnými událostmi nebo, v případě zakázek na práce a služby, nepředvídanými okolnostmi, které by je odůvodňovaly.</w:t>
            </w: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20 - 25 % hodnoty zakázky přidělené (zakázek přidělených) bez příslušné veřejné soutěže. </w:t>
            </w:r>
          </w:p>
        </w:tc>
      </w:tr>
      <w:tr w:rsidR="008F3030" w:rsidRPr="00B1460D" w:rsidTr="00872ECE">
        <w:trPr>
          <w:trHeight w:val="2595"/>
        </w:trPr>
        <w:tc>
          <w:tcPr>
            <w:tcW w:w="219"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23</w:t>
            </w:r>
          </w:p>
        </w:tc>
        <w:tc>
          <w:tcPr>
            <w:tcW w:w="988"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Použití nezákonných kritérií pro ověření vhodnosti a výběr účastníků a/nebo zadání zakázky </w:t>
            </w:r>
          </w:p>
        </w:tc>
        <w:tc>
          <w:tcPr>
            <w:tcW w:w="230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Použití nezákonných kritérií, která některé uchazeče odradí z důvodu nezákonných omezení stanovených v oznámení o zakázce (například povinnost mít v dané zemi nebo regionu sídlo nebo zástupce, stejně jako stanovení příliš specifických technických norem, které upřednostňují jeden subjekt).   Jedná se i o případy, kdy kritéria vhodnosti uchazeče a/nebo zadání zakázky byla nastavena správně, ale vhodnost uchazečů a/nebo zadání zakázky podle nich nebyla ověřena.</w:t>
            </w: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5 - 10 % hodnoty zakázky podle závažnosti.</w:t>
            </w:r>
          </w:p>
        </w:tc>
      </w:tr>
      <w:tr w:rsidR="008F3030" w:rsidRPr="00B1460D" w:rsidTr="00872ECE">
        <w:trPr>
          <w:trHeight w:val="1275"/>
        </w:trPr>
        <w:tc>
          <w:tcPr>
            <w:tcW w:w="219"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24</w:t>
            </w:r>
          </w:p>
        </w:tc>
        <w:tc>
          <w:tcPr>
            <w:tcW w:w="988"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Porušení zásady rovného zacházení</w:t>
            </w:r>
          </w:p>
        </w:tc>
        <w:tc>
          <w:tcPr>
            <w:tcW w:w="230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Při přidělení zakázek byla dodržena pravidla pro zveřejňování, nicméně postupem při zadání zakázky byla porušena zásada rovného zacházení se subjekty (například pokud veřejný zadavatel vybral zájemce, s nimiž jedná, na základě vlastního rozhodnutí nebo pokud s jedním ze zájemců pozvaných na jednání zachází zvýhodněným způsobem). </w:t>
            </w: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5 - 10 % hodnoty zakázky podle závažnosti.</w:t>
            </w:r>
          </w:p>
        </w:tc>
      </w:tr>
      <w:tr w:rsidR="008F3030" w:rsidRPr="00B1460D" w:rsidTr="00872ECE">
        <w:trPr>
          <w:trHeight w:val="540"/>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1740"/>
        </w:trPr>
        <w:tc>
          <w:tcPr>
            <w:tcW w:w="219"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25</w:t>
            </w:r>
          </w:p>
        </w:tc>
        <w:tc>
          <w:tcPr>
            <w:tcW w:w="988"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Neuvedení všech kritérií pro ověření vhodnosti a výběr účastníků a udělení zakázky v zadávací dokumentaci nebo v oznámení o zakázce </w:t>
            </w:r>
          </w:p>
        </w:tc>
        <w:tc>
          <w:tcPr>
            <w:tcW w:w="230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Při udělení zakázky byla dodržena pravidla pro zveřejňování stanovená směrnicemi o zadávání veřejných zakázek, ale v zadávací dokumentaci nebo v oznámení o zakázce nebyla uvedena nebo dostatečně popsána všechna kritéria pro ověření vhodnosti a výběr účastníků a/nebo udělení zakázky.</w:t>
            </w: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2 - 10 % hodnoty zakázky podle závažnosti (obvyklé odstupňování 2 %, 5 %, 10 %).</w:t>
            </w:r>
          </w:p>
        </w:tc>
      </w:tr>
      <w:tr w:rsidR="008F3030" w:rsidRPr="00B1460D" w:rsidTr="00872ECE">
        <w:trPr>
          <w:trHeight w:val="1275"/>
        </w:trPr>
        <w:tc>
          <w:tcPr>
            <w:tcW w:w="219"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26</w:t>
            </w:r>
          </w:p>
        </w:tc>
        <w:tc>
          <w:tcPr>
            <w:tcW w:w="988"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Nesprávné použití některých méně podstatných ustanovení</w:t>
            </w:r>
          </w:p>
        </w:tc>
        <w:tc>
          <w:tcPr>
            <w:tcW w:w="230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Při zadání zakázky byla dodržena ustanovení směrnic o zadávání veřejných zakázek, nicméně nebyly dodrženy některé méně podstatné prvky, jako je zveřejnění oznámení o zadání zakázky.</w:t>
            </w:r>
          </w:p>
        </w:tc>
        <w:tc>
          <w:tcPr>
            <w:tcW w:w="600"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889"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1 - 5 % hodnoty zakázky podle závažnosti porušení a/nebo v opakovaných případech (obvyklé odstupňování 1 %, 2 %, 5 %).</w:t>
            </w:r>
          </w:p>
        </w:tc>
      </w:tr>
      <w:tr w:rsidR="008F3030" w:rsidRPr="00B1460D" w:rsidTr="00872ECE">
        <w:trPr>
          <w:trHeight w:val="870"/>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Poznámka: Pokud má tento druh nesrovnalosti pouze formální charakter bez případného finančního dopadu, nepoužije se žádná oprava.</w:t>
            </w:r>
          </w:p>
        </w:tc>
        <w:tc>
          <w:tcPr>
            <w:tcW w:w="600" w:type="pct"/>
            <w:vMerge/>
            <w:shd w:val="clear" w:color="auto" w:fill="auto"/>
            <w:hideMark/>
          </w:tcPr>
          <w:p w:rsidR="008F3030" w:rsidRPr="00B1460D" w:rsidRDefault="008F3030" w:rsidP="00872ECE">
            <w:pPr>
              <w:rPr>
                <w:rFonts w:ascii="Arial" w:hAnsi="Arial" w:cs="Arial"/>
                <w:b/>
                <w:bCs/>
                <w:sz w:val="20"/>
                <w:szCs w:val="20"/>
              </w:rPr>
            </w:pPr>
          </w:p>
        </w:tc>
        <w:tc>
          <w:tcPr>
            <w:tcW w:w="889" w:type="pct"/>
            <w:vMerge/>
            <w:shd w:val="clear" w:color="auto" w:fill="auto"/>
            <w:hideMark/>
          </w:tcPr>
          <w:p w:rsidR="008F3030" w:rsidRPr="00B1460D" w:rsidRDefault="008F3030" w:rsidP="00872ECE">
            <w:pPr>
              <w:rPr>
                <w:rFonts w:ascii="Arial" w:hAnsi="Arial" w:cs="Arial"/>
                <w:sz w:val="20"/>
                <w:szCs w:val="20"/>
              </w:rPr>
            </w:pPr>
          </w:p>
        </w:tc>
      </w:tr>
      <w:tr w:rsidR="008F3030" w:rsidRPr="00B1460D" w:rsidTr="00872ECE">
        <w:trPr>
          <w:trHeight w:val="315"/>
        </w:trPr>
        <w:tc>
          <w:tcPr>
            <w:tcW w:w="219"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27</w:t>
            </w:r>
          </w:p>
        </w:tc>
        <w:tc>
          <w:tcPr>
            <w:tcW w:w="988"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Nedostatečná definice předmětu zakázky </w:t>
            </w:r>
          </w:p>
        </w:tc>
        <w:tc>
          <w:tcPr>
            <w:tcW w:w="230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Zadávací dokumentace nebo oznámení o zakázce obsahuje diskriminační nebo nedostatečný popis (s ohledem na to, aby uchazeči mohli určit předmět zakázky a zadavatelé zakázku zadat).</w:t>
            </w:r>
          </w:p>
        </w:tc>
        <w:tc>
          <w:tcPr>
            <w:tcW w:w="600"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5 - 100 % hodnoty zakázky</w:t>
            </w:r>
          </w:p>
        </w:tc>
      </w:tr>
      <w:tr w:rsidR="008F3030" w:rsidRPr="00B1460D" w:rsidTr="00872ECE">
        <w:trPr>
          <w:trHeight w:val="315"/>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nad 25% předmětu</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obvykle 100 % hodnoty zakázky</w:t>
            </w:r>
          </w:p>
        </w:tc>
      </w:tr>
      <w:tr w:rsidR="008F3030" w:rsidRPr="00B1460D" w:rsidTr="00872ECE">
        <w:trPr>
          <w:trHeight w:val="570"/>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 25% předmětu</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obvykle 25 % hodnoty zakázky</w:t>
            </w:r>
          </w:p>
        </w:tc>
      </w:tr>
      <w:tr w:rsidR="008F3030" w:rsidRPr="00B1460D" w:rsidTr="00872ECE">
        <w:trPr>
          <w:trHeight w:val="570"/>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 10% předmětu</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obvykle 10 % hodnoty zakázky</w:t>
            </w:r>
          </w:p>
        </w:tc>
      </w:tr>
      <w:tr w:rsidR="008F3030" w:rsidRPr="00B1460D" w:rsidTr="00872ECE">
        <w:trPr>
          <w:trHeight w:val="1125"/>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Poznámka: V případě, kdy nedostatečně popsaná část předmětu zakázky má hodnotu nižší nebo rovnou 5% hodnoty zakázky (dle nabídky vybraného uchazeče) a současně dopady použití takového nedostatečného popisu jsou minimální, uplatní se nižší odvod, jehož celková procentická výše = hodnota nedostatečně popsané části předmětu zakázky dle nabídky vybraného uchazeče / celková nabídková cena vybraného uchazeče x 100%. Totéž platí v případě použití diskriminačního popisu části zakázky v rozsahu nižším nebo rovném 5% hodnoty zakázky.</w:t>
            </w: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 5% předmětu</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obvykle 5 % hodnoty zakázky</w:t>
            </w:r>
          </w:p>
        </w:tc>
      </w:tr>
      <w:tr w:rsidR="008F3030" w:rsidRPr="00B1460D" w:rsidTr="00872ECE">
        <w:trPr>
          <w:trHeight w:val="945"/>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Diskriminační definice předmětu zakázky</w:t>
            </w: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r>
      <w:tr w:rsidR="008F3030" w:rsidRPr="00B1460D" w:rsidTr="00872ECE">
        <w:trPr>
          <w:trHeight w:val="1245"/>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5 - 25 % hodnoty zakázky dle závažnosti (obvyklé odstupňování 5 %, 10 %, 25 %).</w:t>
            </w:r>
          </w:p>
        </w:tc>
      </w:tr>
      <w:tr w:rsidR="008F3030" w:rsidRPr="00B1460D" w:rsidTr="00872ECE">
        <w:trPr>
          <w:trHeight w:val="315"/>
        </w:trPr>
        <w:tc>
          <w:tcPr>
            <w:tcW w:w="219"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28</w:t>
            </w:r>
          </w:p>
        </w:tc>
        <w:tc>
          <w:tcPr>
            <w:tcW w:w="988" w:type="pct"/>
            <w:vMerge w:val="restar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Nedodržení příslušné délky lhůty pro podání nabídek </w:t>
            </w:r>
          </w:p>
        </w:tc>
        <w:tc>
          <w:tcPr>
            <w:tcW w:w="2304" w:type="pct"/>
            <w:vMerge w:val="restar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Při vyhlášení zakázky byla v  dokumentaci k zadávacímu řízení učena kratší délka lhůty pro podání nabídek, než je stanoveno.                                                                                                                                                                                                                                                       </w:t>
            </w: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5 - 25 % hodnoty zakázky dle závažnosti</w:t>
            </w:r>
          </w:p>
        </w:tc>
      </w:tr>
      <w:tr w:rsidR="008F3030" w:rsidRPr="00B1460D" w:rsidTr="00872ECE">
        <w:trPr>
          <w:trHeight w:val="570"/>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Dodržena lhůta dle zákona (ale nikoliv dle PŽP)</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obvykle 5 % hodnoty zakázky</w:t>
            </w:r>
          </w:p>
        </w:tc>
      </w:tr>
      <w:tr w:rsidR="008F3030" w:rsidRPr="00B1460D" w:rsidTr="00872ECE">
        <w:trPr>
          <w:trHeight w:val="570"/>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Lhůta dodržena alespoň z 50%</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obvykle 10% hodnoty zakázky</w:t>
            </w:r>
          </w:p>
        </w:tc>
      </w:tr>
      <w:tr w:rsidR="008F3030" w:rsidRPr="00B1460D" w:rsidTr="00872ECE">
        <w:trPr>
          <w:trHeight w:val="585"/>
        </w:trPr>
        <w:tc>
          <w:tcPr>
            <w:tcW w:w="219" w:type="pct"/>
            <w:vMerge/>
            <w:shd w:val="clear" w:color="auto" w:fill="auto"/>
            <w:hideMark/>
          </w:tcPr>
          <w:p w:rsidR="008F3030" w:rsidRPr="00B1460D" w:rsidRDefault="008F3030" w:rsidP="00872ECE">
            <w:pPr>
              <w:rPr>
                <w:rFonts w:ascii="Arial" w:hAnsi="Arial" w:cs="Arial"/>
                <w:b/>
                <w:bCs/>
                <w:sz w:val="20"/>
                <w:szCs w:val="20"/>
              </w:rPr>
            </w:pPr>
          </w:p>
        </w:tc>
        <w:tc>
          <w:tcPr>
            <w:tcW w:w="988" w:type="pct"/>
            <w:vMerge/>
            <w:shd w:val="clear" w:color="auto" w:fill="auto"/>
            <w:hideMark/>
          </w:tcPr>
          <w:p w:rsidR="008F3030" w:rsidRPr="00B1460D" w:rsidRDefault="008F3030" w:rsidP="00872ECE">
            <w:pPr>
              <w:rPr>
                <w:rFonts w:ascii="Arial" w:hAnsi="Arial" w:cs="Arial"/>
                <w:b/>
                <w:bCs/>
                <w:sz w:val="20"/>
                <w:szCs w:val="20"/>
              </w:rPr>
            </w:pPr>
          </w:p>
        </w:tc>
        <w:tc>
          <w:tcPr>
            <w:tcW w:w="2304" w:type="pct"/>
            <w:vMerge/>
            <w:shd w:val="clear" w:color="auto" w:fill="auto"/>
            <w:hideMark/>
          </w:tcPr>
          <w:p w:rsidR="008F3030" w:rsidRPr="00B1460D" w:rsidRDefault="008F3030" w:rsidP="00872ECE">
            <w:pPr>
              <w:rPr>
                <w:rFonts w:ascii="Arial" w:hAnsi="Arial" w:cs="Arial"/>
                <w:sz w:val="20"/>
                <w:szCs w:val="20"/>
              </w:rPr>
            </w:pPr>
          </w:p>
        </w:tc>
        <w:tc>
          <w:tcPr>
            <w:tcW w:w="60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Lhůta dodržena méně než z 50%</w:t>
            </w:r>
          </w:p>
        </w:tc>
        <w:tc>
          <w:tcPr>
            <w:tcW w:w="88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obvykle 25% hodnoty zakázky</w:t>
            </w:r>
          </w:p>
        </w:tc>
      </w:tr>
    </w:tbl>
    <w:p w:rsidR="008F3030" w:rsidRPr="00B1460D" w:rsidRDefault="008F3030" w:rsidP="008F3030">
      <w:pPr>
        <w:rPr>
          <w:rFonts w:ascii="Arial" w:hAnsi="Arial" w:cs="Arial"/>
        </w:rPr>
      </w:pPr>
    </w:p>
    <w:p w:rsidR="008F3030" w:rsidRPr="00B1460D" w:rsidRDefault="008F3030" w:rsidP="008F3030">
      <w:pPr>
        <w:rPr>
          <w:rFonts w:ascii="Arial" w:hAnsi="Arial" w:cs="Arial"/>
          <w:b/>
          <w:bCs/>
          <w:sz w:val="26"/>
          <w:szCs w:val="26"/>
          <w:u w:val="single"/>
        </w:rPr>
      </w:pPr>
      <w:r w:rsidRPr="00B1460D">
        <w:rPr>
          <w:rFonts w:ascii="Arial" w:hAnsi="Arial" w:cs="Arial"/>
          <w:b/>
          <w:bCs/>
          <w:sz w:val="26"/>
          <w:szCs w:val="26"/>
          <w:u w:val="single"/>
        </w:rPr>
        <w:t>Tabulka č. 3 - Přehled ostatních pochybení a sazby pro výpočet nižšího odvodu za tato pochybení</w:t>
      </w:r>
    </w:p>
    <w:p w:rsidR="008F3030" w:rsidRPr="00B1460D" w:rsidRDefault="008F3030" w:rsidP="008F3030">
      <w:pPr>
        <w:rPr>
          <w:rFonts w:ascii="Arial" w:hAnsi="Arial" w:cs="Arial"/>
          <w:sz w:val="26"/>
          <w:szCs w:val="26"/>
        </w:rPr>
      </w:pP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2"/>
        <w:gridCol w:w="2297"/>
        <w:gridCol w:w="2297"/>
        <w:gridCol w:w="1516"/>
        <w:gridCol w:w="1491"/>
      </w:tblGrid>
      <w:tr w:rsidR="008F3030" w:rsidRPr="00B1460D" w:rsidTr="00872ECE">
        <w:trPr>
          <w:trHeight w:val="1500"/>
        </w:trPr>
        <w:tc>
          <w:tcPr>
            <w:tcW w:w="1039"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Oblast</w:t>
            </w:r>
          </w:p>
        </w:tc>
        <w:tc>
          <w:tcPr>
            <w:tcW w:w="1197"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xml:space="preserve">Porušení </w:t>
            </w:r>
          </w:p>
        </w:tc>
        <w:tc>
          <w:tcPr>
            <w:tcW w:w="1197"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Procentní rozmezí sazby pro výpočet nižšího odvodu</w:t>
            </w:r>
          </w:p>
        </w:tc>
        <w:tc>
          <w:tcPr>
            <w:tcW w:w="790"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Se souhlasem</w:t>
            </w:r>
          </w:p>
        </w:tc>
        <w:tc>
          <w:tcPr>
            <w:tcW w:w="777"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Výchozí částka pro výpočet nižšího odvodu</w:t>
            </w:r>
          </w:p>
        </w:tc>
      </w:tr>
      <w:tr w:rsidR="008F3030" w:rsidRPr="00B1460D" w:rsidTr="00872ECE">
        <w:trPr>
          <w:trHeight w:val="570"/>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Účetnictví</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proplacení v hotovosti nad 5 000 kč</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VŠE NAD 5 000</w:t>
            </w:r>
          </w:p>
        </w:tc>
      </w:tr>
      <w:tr w:rsidR="008F3030" w:rsidRPr="00B1460D" w:rsidTr="00872ECE">
        <w:trPr>
          <w:trHeight w:val="956"/>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proplacení výdajů z běžného místo projektového účtu po </w:t>
            </w:r>
            <w:r w:rsidR="00CA5011" w:rsidRPr="00B1460D">
              <w:rPr>
                <w:rFonts w:ascii="Arial" w:hAnsi="Arial" w:cs="Arial"/>
                <w:sz w:val="20"/>
                <w:szCs w:val="20"/>
              </w:rPr>
              <w:t>uzavření</w:t>
            </w:r>
            <w:r w:rsidRPr="00B1460D">
              <w:rPr>
                <w:rFonts w:ascii="Arial" w:hAnsi="Arial" w:cs="Arial"/>
                <w:sz w:val="20"/>
                <w:szCs w:val="20"/>
              </w:rPr>
              <w:t xml:space="preserve"> smlouvy****</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z výdaje ke které se porušení váže</w:t>
            </w:r>
          </w:p>
        </w:tc>
      </w:tr>
      <w:tr w:rsidR="008F3030" w:rsidRPr="00B1460D" w:rsidTr="00872ECE">
        <w:trPr>
          <w:trHeight w:val="701"/>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nesprávné vykazování způsobilých výdajů (doklady a faktury)</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výdaji</w:t>
            </w:r>
          </w:p>
        </w:tc>
      </w:tr>
      <w:tr w:rsidR="008F3030" w:rsidRPr="00B1460D" w:rsidTr="00872ECE">
        <w:trPr>
          <w:trHeight w:val="697"/>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z dotace proplacený, ale nerealizovaný výdaj</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výdaji</w:t>
            </w:r>
          </w:p>
        </w:tc>
      </w:tr>
      <w:tr w:rsidR="008F3030" w:rsidRPr="00B1460D" w:rsidTr="00872ECE">
        <w:trPr>
          <w:trHeight w:val="870"/>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předčasné vyřazení majetku z evidence v době udržitelnosti projektu</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majetku</w:t>
            </w:r>
          </w:p>
        </w:tc>
      </w:tr>
      <w:tr w:rsidR="008F3030" w:rsidRPr="00B1460D" w:rsidTr="00872ECE">
        <w:trPr>
          <w:trHeight w:val="855"/>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nezařazení majetku podpořeného z dotace do účetní nebo majetkové evidence</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majetku</w:t>
            </w:r>
          </w:p>
        </w:tc>
      </w:tr>
      <w:tr w:rsidR="008F3030" w:rsidRPr="00B1460D" w:rsidTr="00872ECE">
        <w:trPr>
          <w:trHeight w:val="691"/>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nenahlášení příjmů projektu</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vyplacená navíc</w:t>
            </w:r>
          </w:p>
        </w:tc>
      </w:tr>
      <w:tr w:rsidR="008F3030" w:rsidRPr="00B1460D" w:rsidTr="00872ECE">
        <w:trPr>
          <w:trHeight w:val="585"/>
        </w:trPr>
        <w:tc>
          <w:tcPr>
            <w:tcW w:w="103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Projekt a jeho změny</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provedení podstatné realizační změny projektu bez oznámení (kdyby požádal bylo by mu povoleno)</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1 -5 %</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 dotace</w:t>
            </w:r>
          </w:p>
        </w:tc>
      </w:tr>
      <w:tr w:rsidR="008F3030" w:rsidRPr="00B1460D" w:rsidTr="00872ECE">
        <w:trPr>
          <w:trHeight w:val="570"/>
        </w:trPr>
        <w:tc>
          <w:tcPr>
            <w:tcW w:w="1039"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provedení podstatné realizační změny projektu bez oznámení (kdyby požádal nebylo by mu povoleno)</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w:t>
            </w:r>
          </w:p>
        </w:tc>
      </w:tr>
      <w:tr w:rsidR="008F3030" w:rsidRPr="00B1460D" w:rsidTr="00872ECE">
        <w:trPr>
          <w:trHeight w:val="1140"/>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nenaplnění hlavních indikátorů např. plochy / délky / kapacity /počtu lůžek/ - bez vlivu na bodové hodnocení, případně s vlivem, ale splňující bodovou hranici posledního projektu, který dotaci dostal</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0 - 50 %</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OMŘ</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w:t>
            </w:r>
          </w:p>
        </w:tc>
      </w:tr>
      <w:tr w:rsidR="008F3030" w:rsidRPr="00B1460D" w:rsidTr="00872ECE">
        <w:trPr>
          <w:trHeight w:val="855"/>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nenaplnění hlavních indikátorů např. plochy / délky / kapacity /počtu lůžek - nebyl by podpořen (hranice posledního projektu, který dotaci dostal)</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OMŘ</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w:t>
            </w:r>
          </w:p>
        </w:tc>
      </w:tr>
      <w:tr w:rsidR="008F3030" w:rsidRPr="00B1460D" w:rsidTr="00872ECE">
        <w:trPr>
          <w:trHeight w:val="630"/>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Publicita</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nedodržení povinné publicity dle nařízení 1828/2006</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OPTP</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w:t>
            </w:r>
          </w:p>
        </w:tc>
      </w:tr>
      <w:tr w:rsidR="008F3030" w:rsidRPr="00B1460D" w:rsidTr="00872ECE">
        <w:trPr>
          <w:trHeight w:val="777"/>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nedodržení pravidel publicity dle ROP</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1 - 5 %</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výdaj ke kterému se porušení váže</w:t>
            </w:r>
          </w:p>
        </w:tc>
      </w:tr>
      <w:tr w:rsidR="008F3030" w:rsidRPr="00B1460D" w:rsidTr="00872ECE">
        <w:trPr>
          <w:trHeight w:val="703"/>
        </w:trPr>
        <w:tc>
          <w:tcPr>
            <w:tcW w:w="1039" w:type="pct"/>
            <w:shd w:val="clear" w:color="auto" w:fill="auto"/>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Nakládání s majetkem</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neoprávněně či bez souhlasu zřízeno zástavní právo</w:t>
            </w:r>
            <w:r w:rsidR="000C0BAA" w:rsidRPr="00B1460D">
              <w:rPr>
                <w:rFonts w:ascii="Arial" w:hAnsi="Arial" w:cs="Arial"/>
                <w:sz w:val="20"/>
                <w:szCs w:val="20"/>
              </w:rPr>
              <w:t>, právo stavby či obdobné věcné právo</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právník</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vážící se k majetku zatíženého ZP</w:t>
            </w:r>
          </w:p>
        </w:tc>
      </w:tr>
      <w:tr w:rsidR="008F3030" w:rsidRPr="00B1460D" w:rsidTr="00872ECE">
        <w:trPr>
          <w:trHeight w:val="570"/>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0C0BAA">
            <w:pPr>
              <w:rPr>
                <w:rFonts w:ascii="Arial" w:hAnsi="Arial" w:cs="Arial"/>
                <w:sz w:val="20"/>
                <w:szCs w:val="20"/>
              </w:rPr>
            </w:pPr>
            <w:r w:rsidRPr="00B1460D">
              <w:rPr>
                <w:rFonts w:ascii="Arial" w:hAnsi="Arial" w:cs="Arial"/>
                <w:sz w:val="20"/>
                <w:szCs w:val="20"/>
              </w:rPr>
              <w:t xml:space="preserve">pronajmutí majetku bez výběrového řízení, zřízení věcného břemene </w:t>
            </w:r>
            <w:r w:rsidR="000C0BAA" w:rsidRPr="00B1460D">
              <w:rPr>
                <w:rFonts w:ascii="Arial" w:hAnsi="Arial" w:cs="Arial"/>
                <w:sz w:val="20"/>
                <w:szCs w:val="20"/>
              </w:rPr>
              <w:t xml:space="preserve">nebo služebnosti </w:t>
            </w:r>
            <w:r w:rsidRPr="00B1460D">
              <w:rPr>
                <w:rFonts w:ascii="Arial" w:hAnsi="Arial" w:cs="Arial"/>
                <w:sz w:val="20"/>
                <w:szCs w:val="20"/>
              </w:rPr>
              <w:t>bez souhlasu (bez zjednání nápravy)</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právník</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vážící se k majetku</w:t>
            </w:r>
          </w:p>
        </w:tc>
      </w:tr>
      <w:tr w:rsidR="008F3030" w:rsidRPr="00B1460D" w:rsidTr="00872ECE">
        <w:trPr>
          <w:trHeight w:val="570"/>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zcizení majetku podpořeného z dotace v rozporu se smlouvou o poskytnutí dotace</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právník</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vážící se k majetku</w:t>
            </w:r>
          </w:p>
        </w:tc>
      </w:tr>
      <w:tr w:rsidR="008F3030" w:rsidRPr="00B1460D" w:rsidTr="00872ECE">
        <w:trPr>
          <w:trHeight w:val="570"/>
        </w:trPr>
        <w:tc>
          <w:tcPr>
            <w:tcW w:w="1039" w:type="pct"/>
            <w:shd w:val="clear" w:color="auto" w:fill="auto"/>
            <w:noWrap/>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nepojištění (zrušení /nezaplacení pojištění) majetku podpořeného z dotace</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1 - 5 %***</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vážící se k majetku</w:t>
            </w:r>
          </w:p>
        </w:tc>
      </w:tr>
      <w:tr w:rsidR="008F3030" w:rsidRPr="00B1460D" w:rsidTr="00872ECE">
        <w:trPr>
          <w:trHeight w:val="1155"/>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Archivace</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chybějící archivace (absence Smlouvou požadovaných dokumentů vztahujících se k projektu), neexistence dokumentů požadovaných legislativou (stavební deník atp.)</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dotace která se váže k chybějícím dokladům </w:t>
            </w:r>
          </w:p>
        </w:tc>
      </w:tr>
      <w:tr w:rsidR="008F3030" w:rsidRPr="00B1460D" w:rsidTr="00872ECE">
        <w:trPr>
          <w:trHeight w:val="870"/>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Ostatní</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neposkytnutí informací poskytovateli dotace (neposkytování součinnosti)</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případu</w:t>
            </w:r>
          </w:p>
        </w:tc>
      </w:tr>
      <w:tr w:rsidR="008F3030" w:rsidRPr="00B1460D" w:rsidTr="00872ECE">
        <w:trPr>
          <w:trHeight w:val="870"/>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poskytnutí součinnosti až po opakované výzvě poskytovatele dotace</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1 - 5 %</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případu</w:t>
            </w:r>
          </w:p>
        </w:tc>
      </w:tr>
      <w:tr w:rsidR="008F3030" w:rsidRPr="00B1460D" w:rsidTr="00872ECE">
        <w:trPr>
          <w:trHeight w:val="870"/>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197" w:type="pct"/>
            <w:shd w:val="clear" w:color="auto" w:fill="auto"/>
            <w:hideMark/>
          </w:tcPr>
          <w:p w:rsidR="008F3030" w:rsidRPr="00B1460D" w:rsidRDefault="008F3030" w:rsidP="00B53599">
            <w:pPr>
              <w:rPr>
                <w:rFonts w:ascii="Arial" w:hAnsi="Arial" w:cs="Arial"/>
                <w:sz w:val="20"/>
                <w:szCs w:val="20"/>
              </w:rPr>
            </w:pPr>
            <w:r w:rsidRPr="00B1460D">
              <w:rPr>
                <w:rFonts w:ascii="Arial" w:hAnsi="Arial" w:cs="Arial"/>
                <w:sz w:val="20"/>
                <w:szCs w:val="20"/>
              </w:rPr>
              <w:t xml:space="preserve">vyhotovení, použití nebo předložení nepravdivých, nesprávných nebo neúplných dokladů ve smyslu § </w:t>
            </w:r>
            <w:r w:rsidR="00B53599" w:rsidRPr="00B1460D">
              <w:rPr>
                <w:rFonts w:ascii="Arial" w:hAnsi="Arial" w:cs="Arial"/>
                <w:sz w:val="20"/>
                <w:szCs w:val="20"/>
              </w:rPr>
              <w:t>260</w:t>
            </w:r>
            <w:r w:rsidRPr="00B1460D">
              <w:rPr>
                <w:rFonts w:ascii="Arial" w:hAnsi="Arial" w:cs="Arial"/>
                <w:sz w:val="20"/>
                <w:szCs w:val="20"/>
              </w:rPr>
              <w:t xml:space="preserve"> trestního zákona</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případu</w:t>
            </w:r>
          </w:p>
        </w:tc>
      </w:tr>
      <w:tr w:rsidR="008F3030" w:rsidRPr="00B1460D" w:rsidTr="00872ECE">
        <w:trPr>
          <w:trHeight w:val="885"/>
        </w:trPr>
        <w:tc>
          <w:tcPr>
            <w:tcW w:w="1039" w:type="pct"/>
            <w:shd w:val="clear" w:color="auto" w:fill="auto"/>
            <w:noWrap/>
            <w:hideMark/>
          </w:tcPr>
          <w:p w:rsidR="008F3030" w:rsidRPr="00B1460D" w:rsidRDefault="008F3030" w:rsidP="00872ECE">
            <w:pPr>
              <w:rPr>
                <w:rFonts w:ascii="Arial" w:hAnsi="Arial" w:cs="Arial"/>
                <w:b/>
                <w:bCs/>
                <w:sz w:val="20"/>
                <w:szCs w:val="20"/>
              </w:rPr>
            </w:pPr>
            <w:r w:rsidRPr="00B1460D">
              <w:rPr>
                <w:rFonts w:ascii="Arial" w:hAnsi="Arial" w:cs="Arial"/>
                <w:b/>
                <w:bCs/>
                <w:sz w:val="20"/>
                <w:szCs w:val="20"/>
              </w:rPr>
              <w:t> </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xml:space="preserve">uvedení nesprávných údajů pro hodnocení projektu ve smyslu § </w:t>
            </w:r>
            <w:r w:rsidR="000C0BAA" w:rsidRPr="00B1460D">
              <w:rPr>
                <w:rFonts w:ascii="Arial" w:hAnsi="Arial" w:cs="Arial"/>
                <w:sz w:val="20"/>
                <w:szCs w:val="20"/>
              </w:rPr>
              <w:t>212</w:t>
            </w:r>
            <w:r w:rsidRPr="00B1460D">
              <w:rPr>
                <w:rFonts w:ascii="Arial" w:hAnsi="Arial" w:cs="Arial"/>
                <w:sz w:val="20"/>
                <w:szCs w:val="20"/>
              </w:rPr>
              <w:t xml:space="preserve"> trestního zákona</w:t>
            </w:r>
          </w:p>
        </w:tc>
        <w:tc>
          <w:tcPr>
            <w:tcW w:w="119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100% - nižší odvod se neuplatní</w:t>
            </w:r>
          </w:p>
        </w:tc>
        <w:tc>
          <w:tcPr>
            <w:tcW w:w="790"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 </w:t>
            </w:r>
          </w:p>
        </w:tc>
        <w:tc>
          <w:tcPr>
            <w:tcW w:w="777" w:type="pct"/>
            <w:shd w:val="clear" w:color="auto" w:fill="auto"/>
            <w:hideMark/>
          </w:tcPr>
          <w:p w:rsidR="008F3030" w:rsidRPr="00B1460D" w:rsidRDefault="008F3030" w:rsidP="00872ECE">
            <w:pPr>
              <w:rPr>
                <w:rFonts w:ascii="Arial" w:hAnsi="Arial" w:cs="Arial"/>
                <w:sz w:val="20"/>
                <w:szCs w:val="20"/>
              </w:rPr>
            </w:pPr>
            <w:r w:rsidRPr="00B1460D">
              <w:rPr>
                <w:rFonts w:ascii="Arial" w:hAnsi="Arial" w:cs="Arial"/>
                <w:sz w:val="20"/>
                <w:szCs w:val="20"/>
              </w:rPr>
              <w:t>dotace vztahující se k případu</w:t>
            </w:r>
          </w:p>
        </w:tc>
      </w:tr>
    </w:tbl>
    <w:p w:rsidR="008F3030" w:rsidRPr="00B1460D" w:rsidRDefault="008F3030" w:rsidP="008F3030">
      <w:pPr>
        <w:rPr>
          <w:rFonts w:ascii="Arial" w:hAnsi="Arial" w:cs="Arial"/>
          <w:sz w:val="16"/>
          <w:szCs w:val="16"/>
        </w:rPr>
      </w:pPr>
    </w:p>
    <w:p w:rsidR="008F3030" w:rsidRPr="00B1460D" w:rsidRDefault="008F3030" w:rsidP="008F3030">
      <w:pPr>
        <w:rPr>
          <w:rFonts w:ascii="Arial" w:hAnsi="Arial" w:cs="Arial"/>
          <w:sz w:val="16"/>
          <w:szCs w:val="16"/>
        </w:rPr>
      </w:pPr>
      <w:r w:rsidRPr="00B1460D">
        <w:rPr>
          <w:rFonts w:ascii="Arial" w:hAnsi="Arial" w:cs="Arial"/>
          <w:sz w:val="16"/>
          <w:szCs w:val="16"/>
        </w:rPr>
        <w:t>Pozn.:</w:t>
      </w:r>
      <w:r w:rsidRPr="00B1460D">
        <w:rPr>
          <w:rFonts w:ascii="Arial" w:hAnsi="Arial" w:cs="Arial"/>
          <w:sz w:val="16"/>
          <w:szCs w:val="16"/>
        </w:rPr>
        <w:tab/>
        <w:t>Dotace = částka způsobilých výdajů na které byla poskytnuta dotace (např. 92,5 %) po kontrole žádosti o platbu</w:t>
      </w:r>
    </w:p>
    <w:p w:rsidR="008F3030" w:rsidRPr="00B1460D" w:rsidRDefault="008F3030" w:rsidP="008F3030">
      <w:pPr>
        <w:rPr>
          <w:rFonts w:ascii="Arial" w:hAnsi="Arial" w:cs="Arial"/>
          <w:sz w:val="16"/>
          <w:szCs w:val="16"/>
        </w:rPr>
      </w:pPr>
      <w:r w:rsidRPr="00B1460D">
        <w:rPr>
          <w:rFonts w:ascii="Arial" w:hAnsi="Arial" w:cs="Arial"/>
          <w:sz w:val="16"/>
          <w:szCs w:val="16"/>
        </w:rPr>
        <w:t>*</w:t>
      </w:r>
      <w:r w:rsidRPr="00B1460D">
        <w:rPr>
          <w:rFonts w:ascii="Arial" w:hAnsi="Arial" w:cs="Arial"/>
          <w:sz w:val="16"/>
          <w:szCs w:val="16"/>
        </w:rPr>
        <w:tab/>
        <w:t>Uplatní se až v případě, že nebylo splněno ani po vyzvání ŘO</w:t>
      </w:r>
      <w:r w:rsidRPr="00B1460D">
        <w:rPr>
          <w:rFonts w:ascii="Arial" w:hAnsi="Arial" w:cs="Arial"/>
          <w:sz w:val="16"/>
          <w:szCs w:val="16"/>
        </w:rPr>
        <w:tab/>
      </w:r>
      <w:r w:rsidRPr="00B1460D">
        <w:rPr>
          <w:rFonts w:ascii="Arial" w:hAnsi="Arial" w:cs="Arial"/>
          <w:sz w:val="16"/>
          <w:szCs w:val="16"/>
        </w:rPr>
        <w:tab/>
      </w:r>
    </w:p>
    <w:p w:rsidR="008F3030" w:rsidRPr="00B1460D" w:rsidRDefault="008F3030" w:rsidP="008F3030">
      <w:pPr>
        <w:rPr>
          <w:rFonts w:ascii="Arial" w:hAnsi="Arial" w:cs="Arial"/>
          <w:sz w:val="16"/>
          <w:szCs w:val="16"/>
        </w:rPr>
      </w:pPr>
      <w:r w:rsidRPr="00B1460D">
        <w:rPr>
          <w:rFonts w:ascii="Arial" w:hAnsi="Arial" w:cs="Arial"/>
          <w:sz w:val="16"/>
          <w:szCs w:val="16"/>
        </w:rPr>
        <w:t>**</w:t>
      </w:r>
      <w:r w:rsidRPr="00B1460D">
        <w:rPr>
          <w:rFonts w:ascii="Arial" w:hAnsi="Arial" w:cs="Arial"/>
          <w:sz w:val="16"/>
          <w:szCs w:val="16"/>
        </w:rPr>
        <w:tab/>
        <w:t>uplatní se až v případě že stav nelze žádným způsobem napravit</w:t>
      </w:r>
      <w:r w:rsidRPr="00B1460D">
        <w:rPr>
          <w:rFonts w:ascii="Arial" w:hAnsi="Arial" w:cs="Arial"/>
          <w:sz w:val="16"/>
          <w:szCs w:val="16"/>
        </w:rPr>
        <w:tab/>
      </w:r>
      <w:r w:rsidRPr="00B1460D">
        <w:rPr>
          <w:rFonts w:ascii="Arial" w:hAnsi="Arial" w:cs="Arial"/>
          <w:sz w:val="16"/>
          <w:szCs w:val="16"/>
        </w:rPr>
        <w:tab/>
      </w:r>
    </w:p>
    <w:p w:rsidR="008F3030" w:rsidRPr="00B1460D" w:rsidRDefault="008F3030" w:rsidP="008F3030">
      <w:pPr>
        <w:rPr>
          <w:rFonts w:ascii="Arial" w:hAnsi="Arial" w:cs="Arial"/>
          <w:sz w:val="16"/>
          <w:szCs w:val="16"/>
        </w:rPr>
      </w:pPr>
      <w:r w:rsidRPr="00B1460D">
        <w:rPr>
          <w:rFonts w:ascii="Arial" w:hAnsi="Arial" w:cs="Arial"/>
          <w:sz w:val="16"/>
          <w:szCs w:val="16"/>
        </w:rPr>
        <w:t>***</w:t>
      </w:r>
      <w:r w:rsidRPr="00B1460D">
        <w:rPr>
          <w:rFonts w:ascii="Arial" w:hAnsi="Arial" w:cs="Arial"/>
          <w:sz w:val="16"/>
          <w:szCs w:val="16"/>
        </w:rPr>
        <w:tab/>
        <w:t>uplatní se až v případě že nebude napraveno</w:t>
      </w:r>
      <w:r w:rsidRPr="00B1460D">
        <w:rPr>
          <w:rFonts w:ascii="Arial" w:hAnsi="Arial" w:cs="Arial"/>
          <w:sz w:val="16"/>
          <w:szCs w:val="16"/>
        </w:rPr>
        <w:tab/>
      </w:r>
      <w:r w:rsidRPr="00B1460D">
        <w:rPr>
          <w:rFonts w:ascii="Arial" w:hAnsi="Arial" w:cs="Arial"/>
          <w:sz w:val="16"/>
          <w:szCs w:val="16"/>
        </w:rPr>
        <w:tab/>
      </w:r>
    </w:p>
    <w:p w:rsidR="008F3030" w:rsidRPr="00B1460D" w:rsidRDefault="008F3030" w:rsidP="008F3030">
      <w:pPr>
        <w:rPr>
          <w:rFonts w:ascii="Arial" w:hAnsi="Arial" w:cs="Arial"/>
          <w:sz w:val="16"/>
          <w:szCs w:val="16"/>
        </w:rPr>
      </w:pPr>
      <w:r w:rsidRPr="00B1460D">
        <w:rPr>
          <w:rFonts w:ascii="Arial" w:hAnsi="Arial" w:cs="Arial"/>
          <w:sz w:val="16"/>
          <w:szCs w:val="16"/>
        </w:rPr>
        <w:t>****</w:t>
      </w:r>
      <w:r w:rsidRPr="00B1460D">
        <w:rPr>
          <w:rFonts w:ascii="Arial" w:hAnsi="Arial" w:cs="Arial"/>
          <w:sz w:val="16"/>
          <w:szCs w:val="16"/>
        </w:rPr>
        <w:tab/>
        <w:t>uplatní se v případech, kdy finanční toky v projektu nelze dohledat a identifikovat jak a kam byly finance vyplaceny</w:t>
      </w:r>
    </w:p>
    <w:p w:rsidR="008F3030" w:rsidRPr="00B1460D" w:rsidRDefault="008F3030" w:rsidP="008F3030">
      <w:pPr>
        <w:rPr>
          <w:rFonts w:ascii="Arial" w:hAnsi="Arial" w:cs="Arial"/>
          <w:sz w:val="16"/>
          <w:szCs w:val="16"/>
        </w:rPr>
      </w:pPr>
      <w:r w:rsidRPr="00B1460D">
        <w:rPr>
          <w:rFonts w:ascii="Arial" w:hAnsi="Arial" w:cs="Arial"/>
          <w:sz w:val="16"/>
          <w:szCs w:val="16"/>
        </w:rPr>
        <w:t>dotace</w:t>
      </w:r>
      <w:r w:rsidRPr="00B1460D">
        <w:rPr>
          <w:rFonts w:ascii="Arial" w:hAnsi="Arial" w:cs="Arial"/>
          <w:sz w:val="16"/>
          <w:szCs w:val="16"/>
        </w:rPr>
        <w:tab/>
        <w:t>částka způsobilých výdajů, na které byla poskytnuta dotace (např. 92,5% )po kontrole žádosti o platbu</w:t>
      </w:r>
    </w:p>
    <w:p w:rsidR="00891136" w:rsidRPr="00B1460D" w:rsidRDefault="00891136" w:rsidP="008F3030">
      <w:pPr>
        <w:rPr>
          <w:rFonts w:ascii="Arial" w:hAnsi="Arial" w:cs="Arial"/>
        </w:rPr>
      </w:pPr>
      <w:r w:rsidRPr="00B1460D">
        <w:rPr>
          <w:rFonts w:ascii="Arial" w:hAnsi="Arial" w:cs="Arial"/>
        </w:rPr>
        <w:br w:type="page"/>
      </w:r>
      <w:r w:rsidR="00FB53CE" w:rsidRPr="00B1460D">
        <w:rPr>
          <w:rFonts w:ascii="Arial" w:hAnsi="Arial" w:cs="Arial"/>
          <w:noProof/>
        </w:rPr>
        <w:drawing>
          <wp:inline distT="0" distB="0" distL="0" distR="0" wp14:anchorId="66160D88" wp14:editId="77120015">
            <wp:extent cx="5762625" cy="8086725"/>
            <wp:effectExtent l="0" t="0" r="9525" b="9525"/>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8086725"/>
                    </a:xfrm>
                    <a:prstGeom prst="rect">
                      <a:avLst/>
                    </a:prstGeom>
                    <a:noFill/>
                    <a:ln>
                      <a:noFill/>
                    </a:ln>
                  </pic:spPr>
                </pic:pic>
              </a:graphicData>
            </a:graphic>
          </wp:inline>
        </w:drawing>
      </w:r>
    </w:p>
    <w:p w:rsidR="00891136" w:rsidRPr="00B1460D" w:rsidRDefault="00891136" w:rsidP="008F3030">
      <w:pPr>
        <w:rPr>
          <w:rFonts w:ascii="Arial" w:hAnsi="Arial" w:cs="Arial"/>
        </w:rPr>
      </w:pPr>
      <w:r w:rsidRPr="00B1460D">
        <w:rPr>
          <w:rFonts w:ascii="Arial" w:hAnsi="Arial" w:cs="Arial"/>
        </w:rPr>
        <w:br w:type="page"/>
      </w:r>
      <w:r w:rsidR="00FB53CE" w:rsidRPr="00B1460D">
        <w:rPr>
          <w:rFonts w:ascii="Arial" w:hAnsi="Arial" w:cs="Arial"/>
          <w:noProof/>
        </w:rPr>
        <w:drawing>
          <wp:inline distT="0" distB="0" distL="0" distR="0" wp14:anchorId="089A1221" wp14:editId="19B63011">
            <wp:extent cx="5762625" cy="8086725"/>
            <wp:effectExtent l="0" t="0" r="9525" b="9525"/>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8086725"/>
                    </a:xfrm>
                    <a:prstGeom prst="rect">
                      <a:avLst/>
                    </a:prstGeom>
                    <a:noFill/>
                    <a:ln>
                      <a:noFill/>
                    </a:ln>
                  </pic:spPr>
                </pic:pic>
              </a:graphicData>
            </a:graphic>
          </wp:inline>
        </w:drawing>
      </w:r>
    </w:p>
    <w:p w:rsidR="008F3030" w:rsidRPr="006F690D" w:rsidRDefault="00891136" w:rsidP="008F3030">
      <w:pPr>
        <w:rPr>
          <w:rFonts w:ascii="Arial" w:hAnsi="Arial" w:cs="Arial"/>
        </w:rPr>
      </w:pPr>
      <w:r w:rsidRPr="00B1460D">
        <w:rPr>
          <w:rFonts w:ascii="Arial" w:hAnsi="Arial" w:cs="Arial"/>
        </w:rPr>
        <w:br w:type="page"/>
      </w:r>
      <w:r w:rsidR="00FB53CE" w:rsidRPr="00B1460D">
        <w:rPr>
          <w:rFonts w:ascii="Arial" w:hAnsi="Arial" w:cs="Arial"/>
          <w:noProof/>
        </w:rPr>
        <w:drawing>
          <wp:inline distT="0" distB="0" distL="0" distR="0" wp14:anchorId="7D5EB8DD" wp14:editId="35E6FB6F">
            <wp:extent cx="5762625" cy="8086725"/>
            <wp:effectExtent l="0" t="0" r="9525" b="9525"/>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8086725"/>
                    </a:xfrm>
                    <a:prstGeom prst="rect">
                      <a:avLst/>
                    </a:prstGeom>
                    <a:noFill/>
                    <a:ln>
                      <a:noFill/>
                    </a:ln>
                  </pic:spPr>
                </pic:pic>
              </a:graphicData>
            </a:graphic>
          </wp:inline>
        </w:drawing>
      </w:r>
    </w:p>
    <w:sectPr w:rsidR="008F3030" w:rsidRPr="006F690D" w:rsidSect="002D272C">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71" w:rsidRDefault="00122171" w:rsidP="002D272C">
      <w:r>
        <w:separator/>
      </w:r>
    </w:p>
  </w:endnote>
  <w:endnote w:type="continuationSeparator" w:id="0">
    <w:p w:rsidR="00122171" w:rsidRDefault="00122171" w:rsidP="002D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89" w:rsidRPr="001472D0" w:rsidRDefault="00086F89">
    <w:pPr>
      <w:pStyle w:val="Zpat"/>
      <w:jc w:val="center"/>
      <w:rPr>
        <w:rFonts w:ascii="Arial" w:hAnsi="Arial" w:cs="Arial"/>
        <w:sz w:val="22"/>
        <w:szCs w:val="22"/>
      </w:rPr>
    </w:pPr>
    <w:r w:rsidRPr="001472D0">
      <w:rPr>
        <w:rFonts w:ascii="Arial" w:hAnsi="Arial" w:cs="Arial"/>
        <w:sz w:val="22"/>
        <w:szCs w:val="22"/>
      </w:rPr>
      <w:fldChar w:fldCharType="begin"/>
    </w:r>
    <w:r w:rsidRPr="001472D0">
      <w:rPr>
        <w:rFonts w:ascii="Arial" w:hAnsi="Arial" w:cs="Arial"/>
        <w:sz w:val="22"/>
        <w:szCs w:val="22"/>
      </w:rPr>
      <w:instrText xml:space="preserve"> PAGE   \* MERGEFORMAT </w:instrText>
    </w:r>
    <w:r w:rsidRPr="001472D0">
      <w:rPr>
        <w:rFonts w:ascii="Arial" w:hAnsi="Arial" w:cs="Arial"/>
        <w:sz w:val="22"/>
        <w:szCs w:val="22"/>
      </w:rPr>
      <w:fldChar w:fldCharType="separate"/>
    </w:r>
    <w:r w:rsidR="00825FB5">
      <w:rPr>
        <w:rFonts w:ascii="Arial" w:hAnsi="Arial" w:cs="Arial"/>
        <w:noProof/>
        <w:sz w:val="22"/>
        <w:szCs w:val="22"/>
      </w:rPr>
      <w:t>36</w:t>
    </w:r>
    <w:r w:rsidRPr="001472D0">
      <w:rPr>
        <w:rFonts w:ascii="Arial" w:hAnsi="Arial" w:cs="Arial"/>
        <w:sz w:val="22"/>
        <w:szCs w:val="22"/>
      </w:rPr>
      <w:fldChar w:fldCharType="end"/>
    </w:r>
  </w:p>
  <w:p w:rsidR="00086F89" w:rsidRDefault="00086F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71" w:rsidRDefault="00122171" w:rsidP="002D272C">
      <w:r>
        <w:separator/>
      </w:r>
    </w:p>
  </w:footnote>
  <w:footnote w:type="continuationSeparator" w:id="0">
    <w:p w:rsidR="00122171" w:rsidRDefault="00122171" w:rsidP="002D272C">
      <w:r>
        <w:continuationSeparator/>
      </w:r>
    </w:p>
  </w:footnote>
  <w:footnote w:id="1">
    <w:p w:rsidR="00086F89" w:rsidRPr="006F690D" w:rsidRDefault="00086F89" w:rsidP="003F5C93">
      <w:pPr>
        <w:pStyle w:val="Textpoznpodarou"/>
        <w:rPr>
          <w:rFonts w:ascii="Arial" w:hAnsi="Arial" w:cs="Arial"/>
        </w:rPr>
      </w:pPr>
      <w:r w:rsidRPr="006F690D">
        <w:rPr>
          <w:rStyle w:val="Znakapoznpodarou"/>
          <w:rFonts w:ascii="Arial" w:hAnsi="Arial" w:cs="Arial"/>
        </w:rPr>
        <w:footnoteRef/>
      </w:r>
      <w:r w:rsidRPr="006F690D">
        <w:rPr>
          <w:rFonts w:ascii="Arial" w:hAnsi="Arial" w:cs="Arial"/>
        </w:rPr>
        <w:t xml:space="preserve"> definovaným v souladu s Přílohou I Nařízení Komise (ES) č. 800/2008 ze dne 6. srpna 2008, kterým se v souladu s články 87 a 88 Smlouvy o ES prohlašují určité kategorie podpory za slučitelné se společným trhem (obecné nařízení o blokových výjimkách), publikovaným v Úředním věstníku dne 9. 8. 2008</w:t>
      </w:r>
    </w:p>
  </w:footnote>
  <w:footnote w:id="2">
    <w:p w:rsidR="00086F89" w:rsidRPr="006F690D" w:rsidRDefault="00086F89" w:rsidP="0029794B">
      <w:pPr>
        <w:pStyle w:val="Default"/>
        <w:rPr>
          <w:rFonts w:ascii="Arial" w:hAnsi="Arial" w:cs="Arial"/>
          <w:color w:val="auto"/>
          <w:sz w:val="20"/>
          <w:szCs w:val="20"/>
          <w:lang w:val="en-US" w:eastAsia="en-US"/>
        </w:rPr>
      </w:pPr>
      <w:r w:rsidRPr="006F690D">
        <w:rPr>
          <w:rStyle w:val="Znakapoznpodarou"/>
          <w:rFonts w:ascii="Arial" w:hAnsi="Arial" w:cs="Arial"/>
          <w:color w:val="auto"/>
        </w:rPr>
        <w:footnoteRef/>
      </w:r>
      <w:r w:rsidRPr="006F690D">
        <w:rPr>
          <w:rStyle w:val="Znakapoznpodarou"/>
          <w:rFonts w:ascii="Arial" w:hAnsi="Arial" w:cs="Arial"/>
          <w:color w:val="auto"/>
        </w:rPr>
        <w:t xml:space="preserve"> </w:t>
      </w:r>
      <w:r w:rsidRPr="006F690D">
        <w:rPr>
          <w:rFonts w:ascii="Arial" w:hAnsi="Arial" w:cs="Arial"/>
          <w:color w:val="auto"/>
          <w:sz w:val="20"/>
          <w:szCs w:val="20"/>
          <w:lang w:val="en-US" w:eastAsia="en-US"/>
        </w:rPr>
        <w:t>Dotace je ve smyslu zákona č. 320/2001 Sb., o finanční kontrole ve veřejné správě a o změně některých zákonů (zákon o finanční kontrole), ve znění pozdějších předpisů, veřejnou finanční podporou.</w:t>
      </w:r>
    </w:p>
    <w:p w:rsidR="00086F89" w:rsidRPr="00612C0E" w:rsidRDefault="00086F89">
      <w:pPr>
        <w:pStyle w:val="Textpoznpodarou"/>
        <w:rPr>
          <w:lang w:val="cs-CZ"/>
        </w:rPr>
      </w:pPr>
    </w:p>
  </w:footnote>
  <w:footnote w:id="3">
    <w:p w:rsidR="00086F89" w:rsidRPr="006F690D" w:rsidRDefault="00086F89">
      <w:pPr>
        <w:pStyle w:val="Textpoznpodarou"/>
        <w:rPr>
          <w:rFonts w:ascii="Arial" w:hAnsi="Arial" w:cs="Arial"/>
          <w:lang w:val="cs-CZ"/>
        </w:rPr>
      </w:pPr>
      <w:r w:rsidRPr="006F690D">
        <w:rPr>
          <w:rStyle w:val="Znakapoznpodarou"/>
          <w:rFonts w:ascii="Arial" w:hAnsi="Arial" w:cs="Arial"/>
        </w:rPr>
        <w:footnoteRef/>
      </w:r>
      <w:r w:rsidRPr="00823315">
        <w:rPr>
          <w:rFonts w:ascii="Arial" w:hAnsi="Arial" w:cs="Arial"/>
          <w:lang w:val="cs-CZ"/>
        </w:rPr>
        <w:t xml:space="preserve"> </w:t>
      </w:r>
      <w:r w:rsidRPr="006F690D">
        <w:rPr>
          <w:rFonts w:ascii="Arial" w:hAnsi="Arial" w:cs="Arial"/>
          <w:lang w:val="cs-CZ"/>
        </w:rPr>
        <w:t xml:space="preserve">Datum skutečného  předložení žádosti o platbu je den, kdy příjemce předložil žádost o platbu poskytovateli dotace. </w:t>
      </w:r>
    </w:p>
  </w:footnote>
  <w:footnote w:id="4">
    <w:p w:rsidR="00086F89" w:rsidRPr="006F690D" w:rsidRDefault="00086F89">
      <w:pPr>
        <w:pStyle w:val="Textpoznpodarou"/>
        <w:rPr>
          <w:rFonts w:ascii="Arial" w:hAnsi="Arial" w:cs="Arial"/>
          <w:lang w:val="cs-CZ"/>
        </w:rPr>
      </w:pPr>
      <w:r w:rsidRPr="006F690D">
        <w:rPr>
          <w:rStyle w:val="Znakapoznpodarou"/>
          <w:rFonts w:ascii="Arial" w:hAnsi="Arial" w:cs="Arial"/>
        </w:rPr>
        <w:footnoteRef/>
      </w:r>
      <w:r w:rsidRPr="00823315">
        <w:rPr>
          <w:rFonts w:ascii="Arial" w:hAnsi="Arial" w:cs="Arial"/>
          <w:lang w:val="cs-CZ"/>
        </w:rPr>
        <w:t xml:space="preserve"> </w:t>
      </w:r>
      <w:r w:rsidRPr="006F690D">
        <w:rPr>
          <w:rFonts w:ascii="Arial" w:hAnsi="Arial" w:cs="Arial"/>
          <w:lang w:val="cs-CZ"/>
        </w:rPr>
        <w:t>Viz. Příručka pro žadatele a příjemce, kapitola 1.4. Základní pojmy..</w:t>
      </w:r>
    </w:p>
  </w:footnote>
  <w:footnote w:id="5">
    <w:p w:rsidR="00086F89" w:rsidRPr="006F690D" w:rsidRDefault="00086F89">
      <w:pPr>
        <w:pStyle w:val="Textpoznpodarou"/>
        <w:rPr>
          <w:rFonts w:ascii="Arial" w:hAnsi="Arial" w:cs="Arial"/>
          <w:lang w:val="cs-CZ"/>
        </w:rPr>
      </w:pPr>
      <w:r w:rsidRPr="006F690D">
        <w:rPr>
          <w:rStyle w:val="Znakapoznpodarou"/>
          <w:rFonts w:ascii="Arial" w:hAnsi="Arial" w:cs="Arial"/>
        </w:rPr>
        <w:footnoteRef/>
      </w:r>
      <w:r w:rsidRPr="00823315">
        <w:rPr>
          <w:rFonts w:ascii="Arial" w:hAnsi="Arial" w:cs="Arial"/>
          <w:lang w:val="de-DE"/>
        </w:rPr>
        <w:t xml:space="preserve"> </w:t>
      </w:r>
      <w:r w:rsidRPr="006F690D">
        <w:rPr>
          <w:rFonts w:ascii="Arial" w:hAnsi="Arial" w:cs="Arial"/>
          <w:lang w:val="cs-CZ"/>
        </w:rPr>
        <w:t>Datum registrace projektu je datum převzetí projektové žádosti poskytovatelem dotace.</w:t>
      </w:r>
    </w:p>
  </w:footnote>
  <w:footnote w:id="6">
    <w:p w:rsidR="00086F89" w:rsidRPr="006F690D" w:rsidRDefault="00086F89" w:rsidP="008F3030">
      <w:pPr>
        <w:jc w:val="both"/>
        <w:rPr>
          <w:sz w:val="20"/>
          <w:szCs w:val="20"/>
        </w:rPr>
      </w:pPr>
      <w:r w:rsidRPr="006F690D">
        <w:rPr>
          <w:rStyle w:val="Znakapoznpodarou"/>
        </w:rPr>
        <w:footnoteRef/>
      </w:r>
      <w:r w:rsidRPr="006F690D">
        <w:rPr>
          <w:vertAlign w:val="superscript"/>
        </w:rPr>
        <w:t xml:space="preserve"> </w:t>
      </w:r>
      <w:r w:rsidRPr="006F690D">
        <w:rPr>
          <w:sz w:val="20"/>
          <w:szCs w:val="20"/>
        </w:rPr>
        <w:t>- Projektem vytvářejícím příjmy podle čl. 55 Nařízení Rady (ES) č. 1083/2006, ze dne 11.7. 2006, o obecných ustanoveních o Evropském fondu pro regionální rozvoj, Evropském sociálním fondu a Fondu soudržnosti a o</w:t>
      </w:r>
      <w:r w:rsidRPr="005A7986">
        <w:rPr>
          <w:color w:val="000080"/>
          <w:sz w:val="20"/>
          <w:szCs w:val="20"/>
        </w:rPr>
        <w:t xml:space="preserve"> </w:t>
      </w:r>
      <w:r w:rsidRPr="006F690D">
        <w:rPr>
          <w:sz w:val="20"/>
          <w:szCs w:val="20"/>
        </w:rPr>
        <w:t xml:space="preserve">zrušení nařízení (ES) č. 1260/1999 se rozumí jakákoliv operace zahrnující investici do infrastruktury, za jejíž používání se účtují poplatky hrazené přímo uživateli, nebo jakákoliv operace zahrnující prodej nebo pronájem pozemků či budov nebo jakékoli jiné poskytování služeb za úplatu. </w:t>
      </w:r>
      <w:r w:rsidRPr="006F690D">
        <w:rPr>
          <w:b/>
          <w:sz w:val="20"/>
          <w:szCs w:val="20"/>
        </w:rPr>
        <w:t>Tento článek se nepoužije na projekty podléhajícím pravidlům o veřejné podpoře ve smyslu článku 87 Smlouvy ES.</w:t>
      </w:r>
    </w:p>
    <w:p w:rsidR="00086F89" w:rsidRDefault="00086F89" w:rsidP="008F3030">
      <w:pPr>
        <w:jc w:val="both"/>
        <w:rPr>
          <w:sz w:val="20"/>
          <w:szCs w:val="20"/>
        </w:rPr>
      </w:pPr>
    </w:p>
    <w:p w:rsidR="00086F89" w:rsidRDefault="00086F89" w:rsidP="008F3030">
      <w:pPr>
        <w:jc w:val="both"/>
        <w:rPr>
          <w:sz w:val="20"/>
          <w:szCs w:val="20"/>
        </w:rPr>
      </w:pPr>
    </w:p>
    <w:p w:rsidR="00086F89" w:rsidRPr="00823315" w:rsidRDefault="00086F89" w:rsidP="008F3030">
      <w:pPr>
        <w:pStyle w:val="Textpoznpodarou"/>
        <w:rPr>
          <w:lang w:val="cs-CZ"/>
        </w:rPr>
      </w:pPr>
    </w:p>
  </w:footnote>
  <w:footnote w:id="7">
    <w:p w:rsidR="00086F89" w:rsidRPr="00823315" w:rsidRDefault="00086F89" w:rsidP="008F3030">
      <w:pPr>
        <w:pStyle w:val="Textpoznpodarou"/>
        <w:rPr>
          <w:lang w:val="cs-CZ"/>
        </w:rPr>
      </w:pPr>
      <w:r w:rsidRPr="006F690D">
        <w:rPr>
          <w:rStyle w:val="Znakapoznpodarou"/>
        </w:rPr>
        <w:footnoteRef/>
      </w:r>
      <w:r w:rsidRPr="00823315">
        <w:rPr>
          <w:lang w:val="cs-CZ"/>
        </w:rPr>
        <w:t xml:space="preserve"> Hlavní rozpočtová položka projektu je u investičních projektů (vyjma oblasti podpory 2.2) definována položkou v Benefit7 kódem první kategorie AB.CD např.: 02.05 Stavební a technologické činnosti. V oblasti podpory 2.2 je hlavní rozpočtová položka definována položkou v Benefit7 kódem EF např.: .07 Nákup služeb (služby neuvedené jinde v rozpočtu)</w:t>
      </w:r>
    </w:p>
  </w:footnote>
  <w:footnote w:id="8">
    <w:p w:rsidR="00086F89" w:rsidRPr="006F690D" w:rsidRDefault="00086F89" w:rsidP="008F3030">
      <w:pPr>
        <w:pStyle w:val="Textpoznpodarou"/>
        <w:jc w:val="both"/>
        <w:rPr>
          <w:rFonts w:ascii="Arial" w:hAnsi="Arial" w:cs="Arial"/>
          <w:lang w:val="cs-CZ"/>
        </w:rPr>
      </w:pPr>
      <w:r w:rsidRPr="006F690D">
        <w:rPr>
          <w:rStyle w:val="Znakapoznpodarou"/>
          <w:rFonts w:ascii="Arial" w:hAnsi="Arial" w:cs="Arial"/>
        </w:rPr>
        <w:footnoteRef/>
      </w:r>
      <w:r w:rsidRPr="00823315">
        <w:rPr>
          <w:rFonts w:ascii="Arial" w:hAnsi="Arial" w:cs="Arial"/>
          <w:lang w:val="cs-CZ"/>
        </w:rPr>
        <w:t xml:space="preserve"> Vý</w:t>
      </w:r>
      <w:r w:rsidRPr="006F690D">
        <w:rPr>
          <w:rFonts w:ascii="Arial" w:hAnsi="Arial" w:cs="Arial"/>
          <w:lang w:val="cs-CZ"/>
        </w:rPr>
        <w:t xml:space="preserve">počet nižšího odvodu se provede </w:t>
      </w:r>
      <w:r w:rsidRPr="00823315">
        <w:rPr>
          <w:rFonts w:ascii="Arial" w:hAnsi="Arial" w:cs="Arial"/>
          <w:lang w:val="cs-CZ"/>
        </w:rPr>
        <w:t>z částky, která byla poskytovatelem dotace poskytnuta v souvislosti s výběrovým řízením, u kterého se porušení pravidla vyskytlo. Pokud dojde k souběhu porušení více pravidel, procentní částky se sčítají, avšak odvod za porušení rozpočtové kázně nemůže být vyšší než částka dotace poskytovatelem dotace vyplacená ke dni porušení rozpočtové kázně v souvislosti s daným výběrovým řízením.</w:t>
      </w:r>
    </w:p>
    <w:p w:rsidR="00086F89" w:rsidRPr="006F690D" w:rsidRDefault="00086F89" w:rsidP="008F3030">
      <w:pPr>
        <w:pStyle w:val="Textpoznpodarou"/>
        <w:jc w:val="both"/>
        <w:rPr>
          <w:rFonts w:ascii="Arial" w:hAnsi="Arial" w:cs="Arial"/>
          <w:lang w:val="cs-CZ"/>
        </w:rPr>
      </w:pPr>
    </w:p>
  </w:footnote>
  <w:footnote w:id="9">
    <w:p w:rsidR="00086F89" w:rsidRPr="006F690D" w:rsidRDefault="00086F89" w:rsidP="008F3030">
      <w:pPr>
        <w:pStyle w:val="Zkladntextodsazen"/>
        <w:ind w:left="0"/>
        <w:jc w:val="both"/>
        <w:rPr>
          <w:rFonts w:ascii="Arial" w:hAnsi="Arial" w:cs="Arial"/>
          <w:sz w:val="20"/>
          <w:szCs w:val="20"/>
        </w:rPr>
      </w:pPr>
      <w:r w:rsidRPr="006F690D">
        <w:rPr>
          <w:rStyle w:val="Znakapoznpodarou"/>
          <w:rFonts w:ascii="Arial" w:hAnsi="Arial" w:cs="Arial"/>
          <w:sz w:val="20"/>
          <w:szCs w:val="20"/>
        </w:rPr>
        <w:footnoteRef/>
      </w:r>
      <w:r w:rsidRPr="006F690D">
        <w:rPr>
          <w:rFonts w:ascii="Arial" w:hAnsi="Arial" w:cs="Arial"/>
          <w:sz w:val="20"/>
          <w:szCs w:val="20"/>
        </w:rPr>
        <w:t xml:space="preserve">.Při určení předmětu zakázky není přípustné uvádět specifické obchodní názvy výrobků či služeb či odkazy na obchodní firmy (více viz PŽP). </w:t>
      </w:r>
    </w:p>
    <w:p w:rsidR="00086F89" w:rsidRPr="006F690D" w:rsidRDefault="00086F89" w:rsidP="008F3030">
      <w:pPr>
        <w:pStyle w:val="Textpoznpodarou"/>
        <w:rPr>
          <w:lang w:val="cs-CZ"/>
        </w:rPr>
      </w:pPr>
    </w:p>
  </w:footnote>
  <w:footnote w:id="10">
    <w:p w:rsidR="00086F89" w:rsidRPr="006F690D" w:rsidRDefault="00086F89" w:rsidP="008F3030">
      <w:pPr>
        <w:pStyle w:val="Mjstyl4"/>
        <w:numPr>
          <w:ilvl w:val="0"/>
          <w:numId w:val="0"/>
        </w:numPr>
        <w:rPr>
          <w:sz w:val="20"/>
          <w:szCs w:val="20"/>
        </w:rPr>
      </w:pPr>
      <w:r w:rsidRPr="006F690D">
        <w:rPr>
          <w:rStyle w:val="Znakapoznpodarou"/>
          <w:sz w:val="20"/>
          <w:szCs w:val="20"/>
        </w:rPr>
        <w:footnoteRef/>
      </w:r>
      <w:r w:rsidRPr="006F690D">
        <w:rPr>
          <w:sz w:val="20"/>
          <w:szCs w:val="20"/>
        </w:rPr>
        <w:t xml:space="preserve"> Zadavatel je povinen postupovat tak, aby nedocházelo k dělení předmětu zakázky na menší, formálně samostatné zakázky s cílem snížit hodnotu zakázky pod stanovené limity pro jednotlivé druhy výběrových řízení vymezené PŽP. Další zásady týkající se dělení zakázek jsou uvedeny v PŽP.</w:t>
      </w:r>
    </w:p>
    <w:p w:rsidR="00086F89" w:rsidRPr="00E5631A" w:rsidRDefault="00086F89" w:rsidP="008F3030">
      <w:pPr>
        <w:pStyle w:val="Textpoznpodarou"/>
        <w:rPr>
          <w:lang w:val="cs-CZ"/>
        </w:rPr>
      </w:pPr>
    </w:p>
  </w:footnote>
  <w:footnote w:id="11">
    <w:p w:rsidR="00086F89" w:rsidRPr="006F690D" w:rsidRDefault="00086F89" w:rsidP="006F690D">
      <w:pPr>
        <w:pStyle w:val="Mjstyl3"/>
        <w:numPr>
          <w:ilvl w:val="0"/>
          <w:numId w:val="0"/>
        </w:numPr>
        <w:tabs>
          <w:tab w:val="left" w:pos="708"/>
        </w:tabs>
        <w:rPr>
          <w:sz w:val="20"/>
          <w:szCs w:val="16"/>
        </w:rPr>
      </w:pPr>
      <w:r w:rsidRPr="006F690D">
        <w:rPr>
          <w:rStyle w:val="Znakapoznpodarou"/>
          <w:sz w:val="20"/>
          <w:szCs w:val="16"/>
        </w:rPr>
        <w:footnoteRef/>
      </w:r>
      <w:r w:rsidRPr="006F690D">
        <w:rPr>
          <w:sz w:val="20"/>
          <w:szCs w:val="16"/>
        </w:rPr>
        <w:t xml:space="preserve"> </w:t>
      </w:r>
      <w:bookmarkStart w:id="6" w:name="_Toc323899555"/>
      <w:bookmarkStart w:id="7" w:name="_Toc320285895"/>
      <w:bookmarkStart w:id="8" w:name="_Toc320281390"/>
      <w:bookmarkStart w:id="9" w:name="_Toc320280101"/>
      <w:bookmarkStart w:id="10" w:name="_Toc320258826"/>
      <w:bookmarkStart w:id="11" w:name="_Toc283647563"/>
      <w:bookmarkStart w:id="12" w:name="_Toc272343090"/>
      <w:bookmarkStart w:id="13" w:name="_Toc272342899"/>
      <w:bookmarkStart w:id="14" w:name="_Toc215900684"/>
      <w:bookmarkStart w:id="15" w:name="_Toc215312452"/>
      <w:bookmarkStart w:id="16" w:name="_Toc215308345"/>
      <w:bookmarkStart w:id="17" w:name="_Toc214090533"/>
      <w:bookmarkStart w:id="18" w:name="_Toc212002201"/>
      <w:bookmarkStart w:id="19" w:name="_Toc212001896"/>
      <w:r w:rsidRPr="006F690D">
        <w:rPr>
          <w:sz w:val="20"/>
          <w:szCs w:val="16"/>
        </w:rPr>
        <w:t>Zadavatel nesmí uzavřít smlouvu s uchazečem,</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6F690D">
        <w:rPr>
          <w:sz w:val="20"/>
          <w:szCs w:val="16"/>
        </w:rPr>
        <w:t xml:space="preserve">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resp. s uchazečem ve sdružení, který je zaměstnancem zadavatele či členem realizačního týmu či osobou, která se na základě smluvního vztahu podílela na přípravě nebo zadání předmětného výběrového řízení, nebo jehož subdodavatelem je zaměstnanec zadavatele, člen realizačního týmu či osoba, která se na základě smluvního vztahu podílela na přípravě nebo zadání předmětného výběrového řízení. Pokud zadavatel během výběrového řízení zjistí některou z výše uvedených skutečností, je povinen vyřadit danou nabídku již v okamžiku zjištění dané skutečnosti v jakékoli fázi výběrového řízení, nejpozději však do uzavření smlouvy.</w:t>
      </w:r>
    </w:p>
    <w:p w:rsidR="00086F89" w:rsidRPr="00CA2003" w:rsidRDefault="00086F89" w:rsidP="008F3030">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89" w:rsidRDefault="00086F89" w:rsidP="006B694A">
    <w:pPr>
      <w:pStyle w:val="Zhlav"/>
    </w:pPr>
    <w:r>
      <w:rPr>
        <w:noProof/>
      </w:rPr>
      <w:drawing>
        <wp:anchor distT="0" distB="0" distL="114300" distR="114300" simplePos="0" relativeHeight="251658240" behindDoc="1" locked="0" layoutInCell="1" allowOverlap="1">
          <wp:simplePos x="0" y="0"/>
          <wp:positionH relativeFrom="page">
            <wp:posOffset>-5080</wp:posOffset>
          </wp:positionH>
          <wp:positionV relativeFrom="page">
            <wp:posOffset>-1905</wp:posOffset>
          </wp:positionV>
          <wp:extent cx="7562215" cy="10693400"/>
          <wp:effectExtent l="0" t="0" r="635" b="0"/>
          <wp:wrapNone/>
          <wp:docPr id="3" name="obrázek 3" descr="bezna stran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na stran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4387850</wp:posOffset>
              </wp:positionH>
              <wp:positionV relativeFrom="paragraph">
                <wp:posOffset>-155575</wp:posOffset>
              </wp:positionV>
              <wp:extent cx="2043430" cy="644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F89" w:rsidRPr="00B06B32" w:rsidRDefault="00086F89">
                          <w:pPr>
                            <w:rPr>
                              <w:rFonts w:ascii="Arial" w:hAnsi="Arial" w:cs="Arial"/>
                              <w:color w:val="00206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5pt;margin-top:-12.25pt;width:160.9pt;height: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ragAIAAAY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" stroked="f">
              <v:textbox>
                <w:txbxContent>
                  <w:p w:rsidR="00086F89" w:rsidRPr="00B06B32" w:rsidRDefault="00086F89">
                    <w:pPr>
                      <w:rPr>
                        <w:rFonts w:ascii="Arial" w:hAnsi="Arial" w:cs="Arial"/>
                        <w:color w:val="002060"/>
                        <w:sz w:val="22"/>
                        <w:szCs w:val="22"/>
                      </w:rPr>
                    </w:pPr>
                  </w:p>
                </w:txbxContent>
              </v:textbox>
            </v:rect>
          </w:pict>
        </mc:Fallback>
      </mc:AlternateContent>
    </w:r>
  </w:p>
  <w:p w:rsidR="00086F89" w:rsidRDefault="00086F89" w:rsidP="006B694A">
    <w:pPr>
      <w:pStyle w:val="Zhlav"/>
    </w:pPr>
  </w:p>
  <w:p w:rsidR="00086F89" w:rsidRDefault="00086F89" w:rsidP="006B694A">
    <w:pPr>
      <w:pStyle w:val="Zhlav"/>
    </w:pPr>
  </w:p>
  <w:p w:rsidR="00086F89" w:rsidRPr="00761F36" w:rsidRDefault="00086F89" w:rsidP="00761F36">
    <w:pPr>
      <w:pStyle w:val="Zhlav"/>
      <w:jc w:val="center"/>
      <w:rPr>
        <w:rFonts w:ascii="Arial" w:hAnsi="Arial" w:cs="Arial"/>
        <w:b/>
        <w:color w:val="0000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20D17C"/>
    <w:lvl w:ilvl="0">
      <w:start w:val="1"/>
      <w:numFmt w:val="decimal"/>
      <w:pStyle w:val="slovanseznam"/>
      <w:lvlText w:val="%1."/>
      <w:lvlJc w:val="left"/>
      <w:pPr>
        <w:tabs>
          <w:tab w:val="num" w:pos="360"/>
        </w:tabs>
        <w:ind w:left="360" w:hanging="360"/>
      </w:pPr>
    </w:lvl>
  </w:abstractNum>
  <w:abstractNum w:abstractNumId="1">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C2165C"/>
    <w:multiLevelType w:val="hybridMultilevel"/>
    <w:tmpl w:val="BE88F6B4"/>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38375A2"/>
    <w:multiLevelType w:val="hybridMultilevel"/>
    <w:tmpl w:val="0A60511E"/>
    <w:lvl w:ilvl="0" w:tplc="0405000F">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6AD5529"/>
    <w:multiLevelType w:val="hybridMultilevel"/>
    <w:tmpl w:val="A6DA7842"/>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080724CA"/>
    <w:multiLevelType w:val="hybridMultilevel"/>
    <w:tmpl w:val="7DCEA49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E80DE2"/>
    <w:multiLevelType w:val="multilevel"/>
    <w:tmpl w:val="AB58D34E"/>
    <w:lvl w:ilvl="0">
      <w:start w:val="1"/>
      <w:numFmt w:val="decimal"/>
      <w:pStyle w:val="Nadpis1"/>
      <w:lvlText w:val="%1"/>
      <w:lvlJc w:val="left"/>
      <w:pPr>
        <w:tabs>
          <w:tab w:val="num" w:pos="574"/>
        </w:tabs>
        <w:ind w:left="574" w:hanging="432"/>
      </w:pPr>
      <w:rPr>
        <w:rFonts w:hint="default"/>
        <w:b/>
        <w:i w:val="0"/>
        <w:color w:val="auto"/>
        <w:sz w:val="32"/>
      </w:rPr>
    </w:lvl>
    <w:lvl w:ilvl="1">
      <w:start w:val="1"/>
      <w:numFmt w:val="decimal"/>
      <w:pStyle w:val="Nadpis2"/>
      <w:lvlText w:val="%1.%2"/>
      <w:lvlJc w:val="left"/>
      <w:pPr>
        <w:tabs>
          <w:tab w:val="num" w:pos="576"/>
        </w:tabs>
        <w:ind w:left="576" w:hanging="576"/>
      </w:pPr>
      <w:rPr>
        <w:rFonts w:hint="default"/>
        <w:b/>
        <w:i w:val="0"/>
        <w:color w:val="auto"/>
        <w:sz w:val="28"/>
        <w:szCs w:val="28"/>
      </w:rPr>
    </w:lvl>
    <w:lvl w:ilvl="2">
      <w:start w:val="1"/>
      <w:numFmt w:val="decimal"/>
      <w:pStyle w:val="Nadpi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D593CDB"/>
    <w:multiLevelType w:val="hybridMultilevel"/>
    <w:tmpl w:val="CB5E56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11">
    <w:nsid w:val="0F3753BF"/>
    <w:multiLevelType w:val="hybridMultilevel"/>
    <w:tmpl w:val="39C21226"/>
    <w:lvl w:ilvl="0" w:tplc="0405000F">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13B35F3D"/>
    <w:multiLevelType w:val="hybridMultilevel"/>
    <w:tmpl w:val="5212059A"/>
    <w:lvl w:ilvl="0" w:tplc="7DBC169A">
      <w:start w:val="1"/>
      <w:numFmt w:val="lowerRoman"/>
      <w:lvlText w:val="%1)"/>
      <w:lvlJc w:val="left"/>
      <w:pPr>
        <w:ind w:left="2550" w:hanging="72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3">
    <w:nsid w:val="15464B2B"/>
    <w:multiLevelType w:val="hybridMultilevel"/>
    <w:tmpl w:val="EB282626"/>
    <w:lvl w:ilvl="0" w:tplc="538C75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D63F0A"/>
    <w:multiLevelType w:val="hybridMultilevel"/>
    <w:tmpl w:val="65922130"/>
    <w:lvl w:ilvl="0" w:tplc="89CA6E22">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2A0B6D"/>
    <w:multiLevelType w:val="hybridMultilevel"/>
    <w:tmpl w:val="23967B1C"/>
    <w:lvl w:ilvl="0" w:tplc="FDD8EF1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9D4841"/>
    <w:multiLevelType w:val="hybridMultilevel"/>
    <w:tmpl w:val="AD38A84E"/>
    <w:lvl w:ilvl="0" w:tplc="538C75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DD69E5"/>
    <w:multiLevelType w:val="hybridMultilevel"/>
    <w:tmpl w:val="303CCB5C"/>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A937B35"/>
    <w:multiLevelType w:val="hybridMultilevel"/>
    <w:tmpl w:val="089ED018"/>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2B0F0747"/>
    <w:multiLevelType w:val="hybridMultilevel"/>
    <w:tmpl w:val="A0543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ED2881"/>
    <w:multiLevelType w:val="hybridMultilevel"/>
    <w:tmpl w:val="7996D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3A3849"/>
    <w:multiLevelType w:val="hybridMultilevel"/>
    <w:tmpl w:val="921E1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55B3F"/>
    <w:multiLevelType w:val="hybridMultilevel"/>
    <w:tmpl w:val="A8EA9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D92947"/>
    <w:multiLevelType w:val="hybridMultilevel"/>
    <w:tmpl w:val="49BC2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6D358A"/>
    <w:multiLevelType w:val="hybridMultilevel"/>
    <w:tmpl w:val="3AAE9D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6294974"/>
    <w:multiLevelType w:val="hybridMultilevel"/>
    <w:tmpl w:val="310CE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EB01EA"/>
    <w:multiLevelType w:val="hybridMultilevel"/>
    <w:tmpl w:val="40CC2B00"/>
    <w:lvl w:ilvl="0" w:tplc="A406EA8A">
      <w:start w:val="2"/>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707F74"/>
    <w:multiLevelType w:val="hybridMultilevel"/>
    <w:tmpl w:val="A14EC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E05594C"/>
    <w:multiLevelType w:val="multilevel"/>
    <w:tmpl w:val="48C2D17C"/>
    <w:lvl w:ilvl="0">
      <w:start w:val="3"/>
      <w:numFmt w:val="decimal"/>
      <w:lvlText w:val="%1."/>
      <w:lvlJc w:val="left"/>
      <w:pPr>
        <w:tabs>
          <w:tab w:val="num" w:pos="0"/>
        </w:tabs>
        <w:ind w:left="360" w:hanging="360"/>
      </w:pPr>
    </w:lvl>
    <w:lvl w:ilvl="1">
      <w:start w:val="1"/>
      <w:numFmt w:val="decimal"/>
      <w:pStyle w:val="Mjstyl3"/>
      <w:lvlText w:val="%1.%2."/>
      <w:lvlJc w:val="left"/>
      <w:pPr>
        <w:tabs>
          <w:tab w:val="num" w:pos="-360"/>
        </w:tabs>
        <w:ind w:left="432" w:hanging="432"/>
      </w:pPr>
      <w:rPr>
        <w:b/>
      </w:rPr>
    </w:lvl>
    <w:lvl w:ilvl="2">
      <w:start w:val="1"/>
      <w:numFmt w:val="decimal"/>
      <w:lvlText w:val="%1.%2.%3."/>
      <w:lvlJc w:val="left"/>
      <w:pPr>
        <w:tabs>
          <w:tab w:val="num" w:pos="0"/>
        </w:tabs>
        <w:ind w:left="964" w:hanging="55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53830F66"/>
    <w:multiLevelType w:val="hybridMultilevel"/>
    <w:tmpl w:val="C666DDDC"/>
    <w:lvl w:ilvl="0" w:tplc="0C4E8E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4E7D37"/>
    <w:multiLevelType w:val="hybridMultilevel"/>
    <w:tmpl w:val="FDAEAE62"/>
    <w:lvl w:ilvl="0" w:tplc="B0A63FA2">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9026F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7B1111"/>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start w:val="1"/>
      <w:numFmt w:val="bullet"/>
      <w:lvlText w:val=""/>
      <w:lvlJc w:val="left"/>
      <w:pPr>
        <w:tabs>
          <w:tab w:val="num" w:pos="1860"/>
        </w:tabs>
        <w:ind w:left="1860" w:hanging="360"/>
      </w:pPr>
      <w:rPr>
        <w:rFonts w:ascii="Wingdings" w:hAnsi="Wingdings" w:hint="default"/>
      </w:rPr>
    </w:lvl>
    <w:lvl w:ilvl="3" w:tplc="2A22E4D0">
      <w:start w:val="1"/>
      <w:numFmt w:val="bullet"/>
      <w:lvlText w:val=""/>
      <w:lvlJc w:val="left"/>
      <w:pPr>
        <w:tabs>
          <w:tab w:val="num" w:pos="2580"/>
        </w:tabs>
        <w:ind w:left="2580" w:hanging="360"/>
      </w:pPr>
      <w:rPr>
        <w:rFonts w:ascii="Symbol" w:hAnsi="Symbol" w:hint="default"/>
      </w:rPr>
    </w:lvl>
    <w:lvl w:ilvl="4" w:tplc="A978E9F2">
      <w:start w:val="1"/>
      <w:numFmt w:val="bullet"/>
      <w:lvlText w:val="o"/>
      <w:lvlJc w:val="left"/>
      <w:pPr>
        <w:tabs>
          <w:tab w:val="num" w:pos="3300"/>
        </w:tabs>
        <w:ind w:left="3300" w:hanging="360"/>
      </w:pPr>
      <w:rPr>
        <w:rFonts w:ascii="Courier New" w:hAnsi="Courier New" w:cs="Courier New" w:hint="default"/>
      </w:rPr>
    </w:lvl>
    <w:lvl w:ilvl="5" w:tplc="AA005A50">
      <w:start w:val="1"/>
      <w:numFmt w:val="bullet"/>
      <w:lvlText w:val=""/>
      <w:lvlJc w:val="left"/>
      <w:pPr>
        <w:tabs>
          <w:tab w:val="num" w:pos="4020"/>
        </w:tabs>
        <w:ind w:left="4020" w:hanging="360"/>
      </w:pPr>
      <w:rPr>
        <w:rFonts w:ascii="Wingdings" w:hAnsi="Wingdings" w:hint="default"/>
      </w:rPr>
    </w:lvl>
    <w:lvl w:ilvl="6" w:tplc="1114934C">
      <w:start w:val="1"/>
      <w:numFmt w:val="bullet"/>
      <w:lvlText w:val=""/>
      <w:lvlJc w:val="left"/>
      <w:pPr>
        <w:tabs>
          <w:tab w:val="num" w:pos="4740"/>
        </w:tabs>
        <w:ind w:left="4740" w:hanging="360"/>
      </w:pPr>
      <w:rPr>
        <w:rFonts w:ascii="Symbol" w:hAnsi="Symbol" w:hint="default"/>
      </w:rPr>
    </w:lvl>
    <w:lvl w:ilvl="7" w:tplc="3F6C7206">
      <w:start w:val="1"/>
      <w:numFmt w:val="bullet"/>
      <w:lvlText w:val="o"/>
      <w:lvlJc w:val="left"/>
      <w:pPr>
        <w:tabs>
          <w:tab w:val="num" w:pos="5460"/>
        </w:tabs>
        <w:ind w:left="5460" w:hanging="360"/>
      </w:pPr>
      <w:rPr>
        <w:rFonts w:ascii="Courier New" w:hAnsi="Courier New" w:cs="Courier New" w:hint="default"/>
      </w:rPr>
    </w:lvl>
    <w:lvl w:ilvl="8" w:tplc="D1E49AB6">
      <w:start w:val="1"/>
      <w:numFmt w:val="bullet"/>
      <w:lvlText w:val=""/>
      <w:lvlJc w:val="left"/>
      <w:pPr>
        <w:tabs>
          <w:tab w:val="num" w:pos="6180"/>
        </w:tabs>
        <w:ind w:left="6180" w:hanging="360"/>
      </w:pPr>
      <w:rPr>
        <w:rFonts w:ascii="Wingdings" w:hAnsi="Wingdings" w:hint="default"/>
      </w:rPr>
    </w:lvl>
  </w:abstractNum>
  <w:abstractNum w:abstractNumId="36">
    <w:nsid w:val="6092006E"/>
    <w:multiLevelType w:val="hybridMultilevel"/>
    <w:tmpl w:val="418C0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10302B1"/>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88505A5"/>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9A064B2"/>
    <w:multiLevelType w:val="hybridMultilevel"/>
    <w:tmpl w:val="B0B0C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0C5260"/>
    <w:multiLevelType w:val="hybridMultilevel"/>
    <w:tmpl w:val="7DCEA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3D410F"/>
    <w:multiLevelType w:val="hybridMultilevel"/>
    <w:tmpl w:val="794E07E6"/>
    <w:lvl w:ilvl="0" w:tplc="488208A8">
      <w:start w:val="1"/>
      <w:numFmt w:val="decimal"/>
      <w:lvlText w:val="%1."/>
      <w:lvlJc w:val="left"/>
      <w:pPr>
        <w:tabs>
          <w:tab w:val="num" w:pos="644"/>
        </w:tabs>
        <w:ind w:left="644"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nsid w:val="6D9954C7"/>
    <w:multiLevelType w:val="hybridMultilevel"/>
    <w:tmpl w:val="9AA68148"/>
    <w:lvl w:ilvl="0" w:tplc="04050017">
      <w:start w:val="1"/>
      <w:numFmt w:val="lowerLetter"/>
      <w:lvlText w:val="%1)"/>
      <w:lvlJc w:val="left"/>
      <w:pPr>
        <w:tabs>
          <w:tab w:val="num" w:pos="9433"/>
        </w:tabs>
        <w:ind w:left="9433" w:hanging="360"/>
      </w:pPr>
      <w:rPr>
        <w:rFonts w:hint="default"/>
      </w:rPr>
    </w:lvl>
    <w:lvl w:ilvl="1" w:tplc="85268222">
      <w:start w:val="1"/>
      <w:numFmt w:val="bullet"/>
      <w:lvlText w:val="-"/>
      <w:lvlJc w:val="left"/>
      <w:pPr>
        <w:tabs>
          <w:tab w:val="num" w:pos="10153"/>
        </w:tabs>
        <w:ind w:left="10153" w:hanging="360"/>
      </w:pPr>
      <w:rPr>
        <w:rFonts w:ascii="Times New Roman" w:eastAsia="Times New Roman" w:hAnsi="Times New Roman" w:cs="Times New Roman" w:hint="default"/>
      </w:rPr>
    </w:lvl>
    <w:lvl w:ilvl="2" w:tplc="0405001B" w:tentative="1">
      <w:start w:val="1"/>
      <w:numFmt w:val="lowerRoman"/>
      <w:lvlText w:val="%3."/>
      <w:lvlJc w:val="right"/>
      <w:pPr>
        <w:tabs>
          <w:tab w:val="num" w:pos="10873"/>
        </w:tabs>
        <w:ind w:left="10873" w:hanging="180"/>
      </w:pPr>
    </w:lvl>
    <w:lvl w:ilvl="3" w:tplc="0405000F" w:tentative="1">
      <w:start w:val="1"/>
      <w:numFmt w:val="decimal"/>
      <w:lvlText w:val="%4."/>
      <w:lvlJc w:val="left"/>
      <w:pPr>
        <w:tabs>
          <w:tab w:val="num" w:pos="11593"/>
        </w:tabs>
        <w:ind w:left="11593" w:hanging="360"/>
      </w:pPr>
    </w:lvl>
    <w:lvl w:ilvl="4" w:tplc="04050019" w:tentative="1">
      <w:start w:val="1"/>
      <w:numFmt w:val="lowerLetter"/>
      <w:lvlText w:val="%5."/>
      <w:lvlJc w:val="left"/>
      <w:pPr>
        <w:tabs>
          <w:tab w:val="num" w:pos="12313"/>
        </w:tabs>
        <w:ind w:left="12313" w:hanging="360"/>
      </w:pPr>
    </w:lvl>
    <w:lvl w:ilvl="5" w:tplc="0405001B" w:tentative="1">
      <w:start w:val="1"/>
      <w:numFmt w:val="lowerRoman"/>
      <w:lvlText w:val="%6."/>
      <w:lvlJc w:val="right"/>
      <w:pPr>
        <w:tabs>
          <w:tab w:val="num" w:pos="13033"/>
        </w:tabs>
        <w:ind w:left="13033" w:hanging="180"/>
      </w:pPr>
    </w:lvl>
    <w:lvl w:ilvl="6" w:tplc="0405000F" w:tentative="1">
      <w:start w:val="1"/>
      <w:numFmt w:val="decimal"/>
      <w:lvlText w:val="%7."/>
      <w:lvlJc w:val="left"/>
      <w:pPr>
        <w:tabs>
          <w:tab w:val="num" w:pos="13753"/>
        </w:tabs>
        <w:ind w:left="13753" w:hanging="360"/>
      </w:pPr>
    </w:lvl>
    <w:lvl w:ilvl="7" w:tplc="04050019" w:tentative="1">
      <w:start w:val="1"/>
      <w:numFmt w:val="lowerLetter"/>
      <w:lvlText w:val="%8."/>
      <w:lvlJc w:val="left"/>
      <w:pPr>
        <w:tabs>
          <w:tab w:val="num" w:pos="14473"/>
        </w:tabs>
        <w:ind w:left="14473" w:hanging="360"/>
      </w:pPr>
    </w:lvl>
    <w:lvl w:ilvl="8" w:tplc="0405001B" w:tentative="1">
      <w:start w:val="1"/>
      <w:numFmt w:val="lowerRoman"/>
      <w:lvlText w:val="%9."/>
      <w:lvlJc w:val="right"/>
      <w:pPr>
        <w:tabs>
          <w:tab w:val="num" w:pos="15193"/>
        </w:tabs>
        <w:ind w:left="15193" w:hanging="180"/>
      </w:pPr>
    </w:lvl>
  </w:abstractNum>
  <w:abstractNum w:abstractNumId="43">
    <w:nsid w:val="6F4E58AB"/>
    <w:multiLevelType w:val="hybridMultilevel"/>
    <w:tmpl w:val="39C21226"/>
    <w:lvl w:ilvl="0" w:tplc="0405000F">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6FFE2658"/>
    <w:multiLevelType w:val="hybridMultilevel"/>
    <w:tmpl w:val="D23CE95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D271119"/>
    <w:multiLevelType w:val="hybridMultilevel"/>
    <w:tmpl w:val="B7B64274"/>
    <w:lvl w:ilvl="0" w:tplc="7480BAD2">
      <w:start w:val="2"/>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8"/>
  </w:num>
  <w:num w:numId="2">
    <w:abstractNumId w:val="5"/>
  </w:num>
  <w:num w:numId="3">
    <w:abstractNumId w:val="21"/>
  </w:num>
  <w:num w:numId="4">
    <w:abstractNumId w:val="39"/>
  </w:num>
  <w:num w:numId="5">
    <w:abstractNumId w:val="25"/>
  </w:num>
  <w:num w:numId="6">
    <w:abstractNumId w:val="36"/>
  </w:num>
  <w:num w:numId="7">
    <w:abstractNumId w:val="3"/>
  </w:num>
  <w:num w:numId="8">
    <w:abstractNumId w:val="33"/>
  </w:num>
  <w:num w:numId="9">
    <w:abstractNumId w:val="31"/>
  </w:num>
  <w:num w:numId="10">
    <w:abstractNumId w:val="3"/>
  </w:num>
  <w:num w:numId="11">
    <w:abstractNumId w:val="28"/>
  </w:num>
  <w:num w:numId="12">
    <w:abstractNumId w:val="43"/>
  </w:num>
  <w:num w:numId="13">
    <w:abstractNumId w:val="11"/>
  </w:num>
  <w:num w:numId="14">
    <w:abstractNumId w:val="1"/>
  </w:num>
  <w:num w:numId="15">
    <w:abstractNumId w:val="44"/>
  </w:num>
  <w:num w:numId="16">
    <w:abstractNumId w:val="4"/>
  </w:num>
  <w:num w:numId="17">
    <w:abstractNumId w:val="42"/>
  </w:num>
  <w:num w:numId="18">
    <w:abstractNumId w:val="14"/>
  </w:num>
  <w:num w:numId="19">
    <w:abstractNumId w:val="34"/>
  </w:num>
  <w:num w:numId="20">
    <w:abstractNumId w:val="41"/>
  </w:num>
  <w:num w:numId="21">
    <w:abstractNumId w:val="17"/>
  </w:num>
  <w:num w:numId="22">
    <w:abstractNumId w:val="2"/>
  </w:num>
  <w:num w:numId="23">
    <w:abstractNumId w:val="29"/>
  </w:num>
  <w:num w:numId="24">
    <w:abstractNumId w:val="27"/>
  </w:num>
  <w:num w:numId="25">
    <w:abstractNumId w:val="0"/>
  </w:num>
  <w:num w:numId="26">
    <w:abstractNumId w:val="15"/>
  </w:num>
  <w:num w:numId="27">
    <w:abstractNumId w:val="38"/>
  </w:num>
  <w:num w:numId="28">
    <w:abstractNumId w:val="10"/>
  </w:num>
  <w:num w:numId="29">
    <w:abstractNumId w:val="18"/>
  </w:num>
  <w:num w:numId="30">
    <w:abstractNumId w:val="9"/>
  </w:num>
  <w:num w:numId="31">
    <w:abstractNumId w:val="19"/>
  </w:num>
  <w:num w:numId="32">
    <w:abstractNumId w:val="24"/>
  </w:num>
  <w:num w:numId="33">
    <w:abstractNumId w:val="23"/>
  </w:num>
  <w:num w:numId="34">
    <w:abstractNumId w:val="6"/>
  </w:num>
  <w:num w:numId="35">
    <w:abstractNumId w:val="13"/>
  </w:num>
  <w:num w:numId="36">
    <w:abstractNumId w:val="20"/>
  </w:num>
  <w:num w:numId="37">
    <w:abstractNumId w:val="35"/>
  </w:num>
  <w:num w:numId="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 w:ilvl="0">
        <w:start w:val="1"/>
        <w:numFmt w:val="decimal"/>
        <w:lvlText w:val="%1."/>
        <w:lvlJc w:val="left"/>
        <w:pPr>
          <w:tabs>
            <w:tab w:val="num" w:pos="0"/>
          </w:tabs>
          <w:ind w:left="360" w:hanging="360"/>
        </w:pPr>
      </w:lvl>
    </w:lvlOverride>
    <w:lvlOverride w:ilvl="1">
      <w:lvl w:ilvl="1">
        <w:start w:val="1"/>
        <w:numFmt w:val="decimal"/>
        <w:lvlText w:val="%1.%2."/>
        <w:lvlJc w:val="left"/>
        <w:pPr>
          <w:tabs>
            <w:tab w:val="num" w:pos="0"/>
          </w:tabs>
          <w:ind w:left="792" w:hanging="432"/>
        </w:pPr>
      </w:lvl>
    </w:lvlOverride>
    <w:lvlOverride w:ilvl="2">
      <w:lvl w:ilvl="2">
        <w:start w:val="1"/>
        <w:numFmt w:val="decimal"/>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0"/>
          </w:tabs>
          <w:ind w:left="1728" w:hanging="648"/>
        </w:pPr>
      </w:lvl>
    </w:lvlOverride>
    <w:lvlOverride w:ilvl="4">
      <w:lvl w:ilvl="4">
        <w:start w:val="1"/>
        <w:numFmt w:val="decimal"/>
        <w:lvlText w:val="%1.%2.%3.%4.%5."/>
        <w:lvlJc w:val="left"/>
        <w:pPr>
          <w:tabs>
            <w:tab w:val="num" w:pos="0"/>
          </w:tabs>
          <w:ind w:left="2232" w:hanging="792"/>
        </w:pPr>
      </w:lvl>
    </w:lvlOverride>
    <w:lvlOverride w:ilvl="5">
      <w:lvl w:ilvl="5">
        <w:start w:val="1"/>
        <w:numFmt w:val="decimal"/>
        <w:lvlText w:val="%1.%2.%3.%4.%5.%6."/>
        <w:lvlJc w:val="left"/>
        <w:pPr>
          <w:tabs>
            <w:tab w:val="num" w:pos="0"/>
          </w:tabs>
          <w:ind w:left="2736" w:hanging="936"/>
        </w:pPr>
      </w:lvl>
    </w:lvlOverride>
    <w:lvlOverride w:ilvl="6">
      <w:lvl w:ilvl="6">
        <w:start w:val="1"/>
        <w:numFmt w:val="decimal"/>
        <w:lvlText w:val="%1.%2.%3.%4.%5.%6.%7."/>
        <w:lvlJc w:val="left"/>
        <w:pPr>
          <w:tabs>
            <w:tab w:val="num" w:pos="0"/>
          </w:tabs>
          <w:ind w:left="3240" w:hanging="1080"/>
        </w:pPr>
      </w:lvl>
    </w:lvlOverride>
    <w:lvlOverride w:ilvl="7">
      <w:lvl w:ilvl="7">
        <w:start w:val="1"/>
        <w:numFmt w:val="decimal"/>
        <w:lvlText w:val="%1.%2.%3.%4.%5.%6.%7.%8."/>
        <w:lvlJc w:val="left"/>
        <w:pPr>
          <w:tabs>
            <w:tab w:val="num" w:pos="0"/>
          </w:tabs>
          <w:ind w:left="3744" w:hanging="1224"/>
        </w:pPr>
      </w:lvl>
    </w:lvlOverride>
    <w:lvlOverride w:ilvl="8">
      <w:lvl w:ilvl="8">
        <w:start w:val="1"/>
        <w:numFmt w:val="decimal"/>
        <w:lvlText w:val="%1.%2.%3.%4.%5.%6.%7.%8.%9."/>
        <w:lvlJc w:val="left"/>
        <w:pPr>
          <w:tabs>
            <w:tab w:val="num" w:pos="0"/>
          </w:tabs>
          <w:ind w:left="4320" w:hanging="1440"/>
        </w:pPr>
      </w:lvl>
    </w:lvlOverride>
  </w:num>
  <w:num w:numId="40">
    <w:abstractNumId w:val="37"/>
  </w:num>
  <w:num w:numId="41">
    <w:abstractNumId w:val="32"/>
  </w:num>
  <w:num w:numId="42">
    <w:abstractNumId w:val="16"/>
  </w:num>
  <w:num w:numId="43">
    <w:abstractNumId w:val="45"/>
  </w:num>
  <w:num w:numId="44">
    <w:abstractNumId w:val="26"/>
  </w:num>
  <w:num w:numId="45">
    <w:abstractNumId w:val="12"/>
  </w:num>
  <w:num w:numId="46">
    <w:abstractNumId w:val="2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2C"/>
    <w:rsid w:val="000017FE"/>
    <w:rsid w:val="000027C6"/>
    <w:rsid w:val="000030FB"/>
    <w:rsid w:val="000159E9"/>
    <w:rsid w:val="0002173C"/>
    <w:rsid w:val="00025C1F"/>
    <w:rsid w:val="00025DF5"/>
    <w:rsid w:val="000417E8"/>
    <w:rsid w:val="00044724"/>
    <w:rsid w:val="00050D1B"/>
    <w:rsid w:val="00052E38"/>
    <w:rsid w:val="0005313B"/>
    <w:rsid w:val="0005755C"/>
    <w:rsid w:val="000641A4"/>
    <w:rsid w:val="000665D2"/>
    <w:rsid w:val="00066BE4"/>
    <w:rsid w:val="00071848"/>
    <w:rsid w:val="00074134"/>
    <w:rsid w:val="0007483C"/>
    <w:rsid w:val="00077654"/>
    <w:rsid w:val="000815F2"/>
    <w:rsid w:val="00086F89"/>
    <w:rsid w:val="000906BA"/>
    <w:rsid w:val="0009169C"/>
    <w:rsid w:val="000934CA"/>
    <w:rsid w:val="00095613"/>
    <w:rsid w:val="00096123"/>
    <w:rsid w:val="000961E6"/>
    <w:rsid w:val="000A4D9D"/>
    <w:rsid w:val="000A4FBE"/>
    <w:rsid w:val="000A6307"/>
    <w:rsid w:val="000B1981"/>
    <w:rsid w:val="000B32A4"/>
    <w:rsid w:val="000B3D82"/>
    <w:rsid w:val="000B77B5"/>
    <w:rsid w:val="000C0BAA"/>
    <w:rsid w:val="000C4D85"/>
    <w:rsid w:val="000D18F1"/>
    <w:rsid w:val="000E2596"/>
    <w:rsid w:val="000F2541"/>
    <w:rsid w:val="000F426F"/>
    <w:rsid w:val="000F4D64"/>
    <w:rsid w:val="00102068"/>
    <w:rsid w:val="00105672"/>
    <w:rsid w:val="00116B7D"/>
    <w:rsid w:val="00122171"/>
    <w:rsid w:val="0012643C"/>
    <w:rsid w:val="00127F8F"/>
    <w:rsid w:val="001324EE"/>
    <w:rsid w:val="0013435C"/>
    <w:rsid w:val="001472D0"/>
    <w:rsid w:val="00150CA9"/>
    <w:rsid w:val="001510B3"/>
    <w:rsid w:val="00156024"/>
    <w:rsid w:val="00166514"/>
    <w:rsid w:val="0017266E"/>
    <w:rsid w:val="00173CCF"/>
    <w:rsid w:val="001774DF"/>
    <w:rsid w:val="00182A92"/>
    <w:rsid w:val="00183BB4"/>
    <w:rsid w:val="001918D0"/>
    <w:rsid w:val="00191984"/>
    <w:rsid w:val="0019348F"/>
    <w:rsid w:val="00193B9D"/>
    <w:rsid w:val="001A2FBE"/>
    <w:rsid w:val="001A3FC9"/>
    <w:rsid w:val="001A7A98"/>
    <w:rsid w:val="001A7B6B"/>
    <w:rsid w:val="001B0A32"/>
    <w:rsid w:val="001B1A02"/>
    <w:rsid w:val="001C4363"/>
    <w:rsid w:val="001D1A0B"/>
    <w:rsid w:val="001D282B"/>
    <w:rsid w:val="001D3781"/>
    <w:rsid w:val="001E042C"/>
    <w:rsid w:val="001E1AF9"/>
    <w:rsid w:val="001E353D"/>
    <w:rsid w:val="001E4B04"/>
    <w:rsid w:val="001E5CD8"/>
    <w:rsid w:val="001F01F6"/>
    <w:rsid w:val="001F0F5B"/>
    <w:rsid w:val="001F1ADA"/>
    <w:rsid w:val="001F377B"/>
    <w:rsid w:val="001F3E50"/>
    <w:rsid w:val="00202549"/>
    <w:rsid w:val="002077B0"/>
    <w:rsid w:val="00216D88"/>
    <w:rsid w:val="002264A3"/>
    <w:rsid w:val="00226DB1"/>
    <w:rsid w:val="0023096A"/>
    <w:rsid w:val="00240C32"/>
    <w:rsid w:val="00243775"/>
    <w:rsid w:val="002476E6"/>
    <w:rsid w:val="00252FD6"/>
    <w:rsid w:val="00255107"/>
    <w:rsid w:val="00257A60"/>
    <w:rsid w:val="00280595"/>
    <w:rsid w:val="002813B4"/>
    <w:rsid w:val="0028283F"/>
    <w:rsid w:val="00283CA8"/>
    <w:rsid w:val="00286AB0"/>
    <w:rsid w:val="00294918"/>
    <w:rsid w:val="0029681A"/>
    <w:rsid w:val="00297906"/>
    <w:rsid w:val="0029794B"/>
    <w:rsid w:val="002A1B2E"/>
    <w:rsid w:val="002A6353"/>
    <w:rsid w:val="002A6B63"/>
    <w:rsid w:val="002B3043"/>
    <w:rsid w:val="002B4191"/>
    <w:rsid w:val="002B41C9"/>
    <w:rsid w:val="002B63F2"/>
    <w:rsid w:val="002C3249"/>
    <w:rsid w:val="002C5089"/>
    <w:rsid w:val="002D272C"/>
    <w:rsid w:val="002D5BF6"/>
    <w:rsid w:val="002E2E56"/>
    <w:rsid w:val="002E2E91"/>
    <w:rsid w:val="002E4F09"/>
    <w:rsid w:val="002E5CF0"/>
    <w:rsid w:val="002E7E8F"/>
    <w:rsid w:val="002F4247"/>
    <w:rsid w:val="002F6270"/>
    <w:rsid w:val="00301A2A"/>
    <w:rsid w:val="00303B0E"/>
    <w:rsid w:val="003063E1"/>
    <w:rsid w:val="003138A1"/>
    <w:rsid w:val="00314943"/>
    <w:rsid w:val="00315931"/>
    <w:rsid w:val="00324BE7"/>
    <w:rsid w:val="00324D25"/>
    <w:rsid w:val="0032598A"/>
    <w:rsid w:val="00327F10"/>
    <w:rsid w:val="00340560"/>
    <w:rsid w:val="00355387"/>
    <w:rsid w:val="003617DC"/>
    <w:rsid w:val="00367135"/>
    <w:rsid w:val="00372D80"/>
    <w:rsid w:val="003733BF"/>
    <w:rsid w:val="00380EAC"/>
    <w:rsid w:val="00381160"/>
    <w:rsid w:val="003851BA"/>
    <w:rsid w:val="00386A3A"/>
    <w:rsid w:val="0039526E"/>
    <w:rsid w:val="00396D1D"/>
    <w:rsid w:val="003A316D"/>
    <w:rsid w:val="003A3DB2"/>
    <w:rsid w:val="003A4267"/>
    <w:rsid w:val="003A6280"/>
    <w:rsid w:val="003B5214"/>
    <w:rsid w:val="003B6CAB"/>
    <w:rsid w:val="003B7518"/>
    <w:rsid w:val="003B7973"/>
    <w:rsid w:val="003C2E7C"/>
    <w:rsid w:val="003C4592"/>
    <w:rsid w:val="003C6732"/>
    <w:rsid w:val="003D0C4F"/>
    <w:rsid w:val="003D5BF1"/>
    <w:rsid w:val="003D6685"/>
    <w:rsid w:val="003E4273"/>
    <w:rsid w:val="003E4A3E"/>
    <w:rsid w:val="003E4C92"/>
    <w:rsid w:val="003E4ECA"/>
    <w:rsid w:val="003E5A33"/>
    <w:rsid w:val="003F1BB4"/>
    <w:rsid w:val="003F2270"/>
    <w:rsid w:val="003F52DA"/>
    <w:rsid w:val="003F5C93"/>
    <w:rsid w:val="003F79F0"/>
    <w:rsid w:val="003F7F01"/>
    <w:rsid w:val="00407DAD"/>
    <w:rsid w:val="0041274C"/>
    <w:rsid w:val="004130C1"/>
    <w:rsid w:val="00416F62"/>
    <w:rsid w:val="00417C02"/>
    <w:rsid w:val="0043194F"/>
    <w:rsid w:val="0044193C"/>
    <w:rsid w:val="00446B43"/>
    <w:rsid w:val="004503CC"/>
    <w:rsid w:val="00453442"/>
    <w:rsid w:val="00453EB9"/>
    <w:rsid w:val="00464ACE"/>
    <w:rsid w:val="00466080"/>
    <w:rsid w:val="00466FE4"/>
    <w:rsid w:val="00470D71"/>
    <w:rsid w:val="00475139"/>
    <w:rsid w:val="004753C5"/>
    <w:rsid w:val="00483250"/>
    <w:rsid w:val="0048327E"/>
    <w:rsid w:val="0048391A"/>
    <w:rsid w:val="004A36A6"/>
    <w:rsid w:val="004A3F2E"/>
    <w:rsid w:val="004A61D0"/>
    <w:rsid w:val="004B09C7"/>
    <w:rsid w:val="004B0B3A"/>
    <w:rsid w:val="004B201D"/>
    <w:rsid w:val="004B3103"/>
    <w:rsid w:val="004B34D9"/>
    <w:rsid w:val="004B5DC2"/>
    <w:rsid w:val="004B72BB"/>
    <w:rsid w:val="004B79DC"/>
    <w:rsid w:val="004C036C"/>
    <w:rsid w:val="004C415D"/>
    <w:rsid w:val="004C5967"/>
    <w:rsid w:val="004C72DD"/>
    <w:rsid w:val="004C7594"/>
    <w:rsid w:val="004D55E5"/>
    <w:rsid w:val="004D7629"/>
    <w:rsid w:val="004F248A"/>
    <w:rsid w:val="004F32DA"/>
    <w:rsid w:val="004F3EAA"/>
    <w:rsid w:val="005001CE"/>
    <w:rsid w:val="0050100C"/>
    <w:rsid w:val="00501491"/>
    <w:rsid w:val="00501C83"/>
    <w:rsid w:val="00502FCB"/>
    <w:rsid w:val="00503896"/>
    <w:rsid w:val="005063AC"/>
    <w:rsid w:val="00510B5F"/>
    <w:rsid w:val="00512A1B"/>
    <w:rsid w:val="00512AD8"/>
    <w:rsid w:val="00516A3D"/>
    <w:rsid w:val="00522DCD"/>
    <w:rsid w:val="00522F57"/>
    <w:rsid w:val="005404E1"/>
    <w:rsid w:val="00540C7A"/>
    <w:rsid w:val="00540CDC"/>
    <w:rsid w:val="00545717"/>
    <w:rsid w:val="00545DF1"/>
    <w:rsid w:val="00547807"/>
    <w:rsid w:val="00551EED"/>
    <w:rsid w:val="0055274F"/>
    <w:rsid w:val="005538F9"/>
    <w:rsid w:val="005558B7"/>
    <w:rsid w:val="00557311"/>
    <w:rsid w:val="00561F75"/>
    <w:rsid w:val="00564458"/>
    <w:rsid w:val="00566B43"/>
    <w:rsid w:val="00570824"/>
    <w:rsid w:val="005733DD"/>
    <w:rsid w:val="00573DA9"/>
    <w:rsid w:val="00574D9C"/>
    <w:rsid w:val="0057675F"/>
    <w:rsid w:val="0058159C"/>
    <w:rsid w:val="00586C9B"/>
    <w:rsid w:val="005912B2"/>
    <w:rsid w:val="0059343B"/>
    <w:rsid w:val="005A5B91"/>
    <w:rsid w:val="005A60FD"/>
    <w:rsid w:val="005B211D"/>
    <w:rsid w:val="005B2A1B"/>
    <w:rsid w:val="005B2B26"/>
    <w:rsid w:val="005B7716"/>
    <w:rsid w:val="005C4C40"/>
    <w:rsid w:val="005C5ECA"/>
    <w:rsid w:val="005C76F9"/>
    <w:rsid w:val="005D2999"/>
    <w:rsid w:val="005D44D8"/>
    <w:rsid w:val="005E2505"/>
    <w:rsid w:val="005E3580"/>
    <w:rsid w:val="005E60C7"/>
    <w:rsid w:val="005E7433"/>
    <w:rsid w:val="005E7F5D"/>
    <w:rsid w:val="005F3049"/>
    <w:rsid w:val="005F6779"/>
    <w:rsid w:val="006016A9"/>
    <w:rsid w:val="00602170"/>
    <w:rsid w:val="006110F3"/>
    <w:rsid w:val="00612C0E"/>
    <w:rsid w:val="00614DBB"/>
    <w:rsid w:val="00621B89"/>
    <w:rsid w:val="006233F9"/>
    <w:rsid w:val="00631129"/>
    <w:rsid w:val="00632AE4"/>
    <w:rsid w:val="00633208"/>
    <w:rsid w:val="00635220"/>
    <w:rsid w:val="00635461"/>
    <w:rsid w:val="00643C2C"/>
    <w:rsid w:val="00643FD4"/>
    <w:rsid w:val="00652DF1"/>
    <w:rsid w:val="00664779"/>
    <w:rsid w:val="006661DE"/>
    <w:rsid w:val="00667940"/>
    <w:rsid w:val="00674FE8"/>
    <w:rsid w:val="00677930"/>
    <w:rsid w:val="00682B24"/>
    <w:rsid w:val="00683D35"/>
    <w:rsid w:val="00691129"/>
    <w:rsid w:val="006918D0"/>
    <w:rsid w:val="00692823"/>
    <w:rsid w:val="00692AA7"/>
    <w:rsid w:val="006A3A2C"/>
    <w:rsid w:val="006A6819"/>
    <w:rsid w:val="006B5518"/>
    <w:rsid w:val="006B5CD3"/>
    <w:rsid w:val="006B694A"/>
    <w:rsid w:val="006C3154"/>
    <w:rsid w:val="006C43C0"/>
    <w:rsid w:val="006D7199"/>
    <w:rsid w:val="006E52E5"/>
    <w:rsid w:val="006E5A84"/>
    <w:rsid w:val="006E63B4"/>
    <w:rsid w:val="006F2F31"/>
    <w:rsid w:val="006F38F9"/>
    <w:rsid w:val="006F690D"/>
    <w:rsid w:val="006F6AD8"/>
    <w:rsid w:val="00700A1E"/>
    <w:rsid w:val="00700E1D"/>
    <w:rsid w:val="00701D3E"/>
    <w:rsid w:val="00702169"/>
    <w:rsid w:val="00702F2C"/>
    <w:rsid w:val="007038A5"/>
    <w:rsid w:val="00705C3E"/>
    <w:rsid w:val="007062F6"/>
    <w:rsid w:val="00707765"/>
    <w:rsid w:val="00710CE8"/>
    <w:rsid w:val="00712227"/>
    <w:rsid w:val="00713F4F"/>
    <w:rsid w:val="007162BD"/>
    <w:rsid w:val="00723D3E"/>
    <w:rsid w:val="00723EC4"/>
    <w:rsid w:val="007251B7"/>
    <w:rsid w:val="007260EF"/>
    <w:rsid w:val="00732A73"/>
    <w:rsid w:val="007417BD"/>
    <w:rsid w:val="0074596D"/>
    <w:rsid w:val="007538D5"/>
    <w:rsid w:val="00753FA6"/>
    <w:rsid w:val="00756931"/>
    <w:rsid w:val="00761F36"/>
    <w:rsid w:val="007632EF"/>
    <w:rsid w:val="00763E9B"/>
    <w:rsid w:val="00764F26"/>
    <w:rsid w:val="007707CC"/>
    <w:rsid w:val="0077214B"/>
    <w:rsid w:val="00781BD5"/>
    <w:rsid w:val="00787E35"/>
    <w:rsid w:val="00794F84"/>
    <w:rsid w:val="00795EF0"/>
    <w:rsid w:val="007A0142"/>
    <w:rsid w:val="007A0EE6"/>
    <w:rsid w:val="007A200B"/>
    <w:rsid w:val="007A406D"/>
    <w:rsid w:val="007B1791"/>
    <w:rsid w:val="007B5D1D"/>
    <w:rsid w:val="007B720E"/>
    <w:rsid w:val="007C43E6"/>
    <w:rsid w:val="007C59E3"/>
    <w:rsid w:val="007C59ED"/>
    <w:rsid w:val="007C61FA"/>
    <w:rsid w:val="007C79D6"/>
    <w:rsid w:val="007D140A"/>
    <w:rsid w:val="007E4DD7"/>
    <w:rsid w:val="007F075F"/>
    <w:rsid w:val="007F5F13"/>
    <w:rsid w:val="007F71C6"/>
    <w:rsid w:val="008015D9"/>
    <w:rsid w:val="00802EC1"/>
    <w:rsid w:val="008056AC"/>
    <w:rsid w:val="00807399"/>
    <w:rsid w:val="00820459"/>
    <w:rsid w:val="00823315"/>
    <w:rsid w:val="00824152"/>
    <w:rsid w:val="00824574"/>
    <w:rsid w:val="00824840"/>
    <w:rsid w:val="00825FB5"/>
    <w:rsid w:val="008358FB"/>
    <w:rsid w:val="0083614B"/>
    <w:rsid w:val="00837F8D"/>
    <w:rsid w:val="00840298"/>
    <w:rsid w:val="00841AA4"/>
    <w:rsid w:val="008526ED"/>
    <w:rsid w:val="00861E03"/>
    <w:rsid w:val="00865179"/>
    <w:rsid w:val="008652D0"/>
    <w:rsid w:val="00865F0E"/>
    <w:rsid w:val="0087212E"/>
    <w:rsid w:val="00872ECE"/>
    <w:rsid w:val="0087641B"/>
    <w:rsid w:val="00885C73"/>
    <w:rsid w:val="00891136"/>
    <w:rsid w:val="00894C5A"/>
    <w:rsid w:val="008A188D"/>
    <w:rsid w:val="008A1C82"/>
    <w:rsid w:val="008A3E30"/>
    <w:rsid w:val="008A5A9C"/>
    <w:rsid w:val="008B1506"/>
    <w:rsid w:val="008C6B3D"/>
    <w:rsid w:val="008D2028"/>
    <w:rsid w:val="008D5CFF"/>
    <w:rsid w:val="008D744C"/>
    <w:rsid w:val="008E0F83"/>
    <w:rsid w:val="008E1BDB"/>
    <w:rsid w:val="008E3219"/>
    <w:rsid w:val="008F0891"/>
    <w:rsid w:val="008F14C2"/>
    <w:rsid w:val="008F3030"/>
    <w:rsid w:val="008F7209"/>
    <w:rsid w:val="009012B2"/>
    <w:rsid w:val="0090337C"/>
    <w:rsid w:val="00911F6A"/>
    <w:rsid w:val="0091431C"/>
    <w:rsid w:val="00914F9E"/>
    <w:rsid w:val="00920EE7"/>
    <w:rsid w:val="009279ED"/>
    <w:rsid w:val="00931C2A"/>
    <w:rsid w:val="00932BAF"/>
    <w:rsid w:val="00936CAE"/>
    <w:rsid w:val="00940DFF"/>
    <w:rsid w:val="009441A2"/>
    <w:rsid w:val="00952783"/>
    <w:rsid w:val="0095428D"/>
    <w:rsid w:val="00970E01"/>
    <w:rsid w:val="009723F5"/>
    <w:rsid w:val="009775EF"/>
    <w:rsid w:val="009807BF"/>
    <w:rsid w:val="009808BB"/>
    <w:rsid w:val="009824C3"/>
    <w:rsid w:val="009855D5"/>
    <w:rsid w:val="00986E5D"/>
    <w:rsid w:val="009929F7"/>
    <w:rsid w:val="00996178"/>
    <w:rsid w:val="009972A3"/>
    <w:rsid w:val="009A6F6E"/>
    <w:rsid w:val="009B3A51"/>
    <w:rsid w:val="009B778A"/>
    <w:rsid w:val="009C05F1"/>
    <w:rsid w:val="009C2296"/>
    <w:rsid w:val="009E0898"/>
    <w:rsid w:val="009E0E94"/>
    <w:rsid w:val="009E2959"/>
    <w:rsid w:val="009E62A5"/>
    <w:rsid w:val="009E65A3"/>
    <w:rsid w:val="009F68F5"/>
    <w:rsid w:val="00A11412"/>
    <w:rsid w:val="00A13BCC"/>
    <w:rsid w:val="00A13F3B"/>
    <w:rsid w:val="00A1413A"/>
    <w:rsid w:val="00A210F1"/>
    <w:rsid w:val="00A21126"/>
    <w:rsid w:val="00A24498"/>
    <w:rsid w:val="00A27D06"/>
    <w:rsid w:val="00A32917"/>
    <w:rsid w:val="00A33DF7"/>
    <w:rsid w:val="00A36103"/>
    <w:rsid w:val="00A3789A"/>
    <w:rsid w:val="00A40421"/>
    <w:rsid w:val="00A41220"/>
    <w:rsid w:val="00A52BAE"/>
    <w:rsid w:val="00A52EFC"/>
    <w:rsid w:val="00A55420"/>
    <w:rsid w:val="00A56CBA"/>
    <w:rsid w:val="00A5757C"/>
    <w:rsid w:val="00A6146E"/>
    <w:rsid w:val="00A61554"/>
    <w:rsid w:val="00A7770B"/>
    <w:rsid w:val="00A80BCE"/>
    <w:rsid w:val="00A8324C"/>
    <w:rsid w:val="00A8400F"/>
    <w:rsid w:val="00A87F5C"/>
    <w:rsid w:val="00A97F1C"/>
    <w:rsid w:val="00AA1847"/>
    <w:rsid w:val="00AA72EE"/>
    <w:rsid w:val="00AA75B4"/>
    <w:rsid w:val="00AB09BD"/>
    <w:rsid w:val="00AD14B5"/>
    <w:rsid w:val="00AD37D6"/>
    <w:rsid w:val="00AD4341"/>
    <w:rsid w:val="00AE0B55"/>
    <w:rsid w:val="00AE15D0"/>
    <w:rsid w:val="00AE70BD"/>
    <w:rsid w:val="00AF188D"/>
    <w:rsid w:val="00AF66E1"/>
    <w:rsid w:val="00AF7CFD"/>
    <w:rsid w:val="00B016DA"/>
    <w:rsid w:val="00B067F4"/>
    <w:rsid w:val="00B06B32"/>
    <w:rsid w:val="00B1269C"/>
    <w:rsid w:val="00B12D8B"/>
    <w:rsid w:val="00B12FF4"/>
    <w:rsid w:val="00B1460D"/>
    <w:rsid w:val="00B15351"/>
    <w:rsid w:val="00B16A7C"/>
    <w:rsid w:val="00B227B0"/>
    <w:rsid w:val="00B2465A"/>
    <w:rsid w:val="00B25556"/>
    <w:rsid w:val="00B2612C"/>
    <w:rsid w:val="00B30E11"/>
    <w:rsid w:val="00B421CD"/>
    <w:rsid w:val="00B51DE0"/>
    <w:rsid w:val="00B52944"/>
    <w:rsid w:val="00B53599"/>
    <w:rsid w:val="00B547F8"/>
    <w:rsid w:val="00B56A6D"/>
    <w:rsid w:val="00B641BA"/>
    <w:rsid w:val="00B70917"/>
    <w:rsid w:val="00B75667"/>
    <w:rsid w:val="00B763CF"/>
    <w:rsid w:val="00B80565"/>
    <w:rsid w:val="00B81015"/>
    <w:rsid w:val="00B818DB"/>
    <w:rsid w:val="00B82561"/>
    <w:rsid w:val="00B835A3"/>
    <w:rsid w:val="00B85FA4"/>
    <w:rsid w:val="00B86E58"/>
    <w:rsid w:val="00B90B7F"/>
    <w:rsid w:val="00B9193D"/>
    <w:rsid w:val="00B96A47"/>
    <w:rsid w:val="00BA66FD"/>
    <w:rsid w:val="00BA7027"/>
    <w:rsid w:val="00BB3B64"/>
    <w:rsid w:val="00BB7F20"/>
    <w:rsid w:val="00BC2156"/>
    <w:rsid w:val="00BC4DC1"/>
    <w:rsid w:val="00BD021E"/>
    <w:rsid w:val="00BD4341"/>
    <w:rsid w:val="00BD5B35"/>
    <w:rsid w:val="00BE178C"/>
    <w:rsid w:val="00BF1DEE"/>
    <w:rsid w:val="00BF4EB5"/>
    <w:rsid w:val="00C03E4E"/>
    <w:rsid w:val="00C12237"/>
    <w:rsid w:val="00C17B4D"/>
    <w:rsid w:val="00C24910"/>
    <w:rsid w:val="00C3211C"/>
    <w:rsid w:val="00C36833"/>
    <w:rsid w:val="00C414F6"/>
    <w:rsid w:val="00C461D2"/>
    <w:rsid w:val="00C5420D"/>
    <w:rsid w:val="00C545F9"/>
    <w:rsid w:val="00C576CB"/>
    <w:rsid w:val="00C61DE9"/>
    <w:rsid w:val="00C627CF"/>
    <w:rsid w:val="00C65FDE"/>
    <w:rsid w:val="00C670DB"/>
    <w:rsid w:val="00C8111A"/>
    <w:rsid w:val="00C81F49"/>
    <w:rsid w:val="00CA5011"/>
    <w:rsid w:val="00CA6DE0"/>
    <w:rsid w:val="00CB0294"/>
    <w:rsid w:val="00CB0918"/>
    <w:rsid w:val="00CB091F"/>
    <w:rsid w:val="00CB3ECE"/>
    <w:rsid w:val="00CB4372"/>
    <w:rsid w:val="00CB5E49"/>
    <w:rsid w:val="00CC69C3"/>
    <w:rsid w:val="00CC78E9"/>
    <w:rsid w:val="00CD21E2"/>
    <w:rsid w:val="00CD49CB"/>
    <w:rsid w:val="00CE11BC"/>
    <w:rsid w:val="00CE3796"/>
    <w:rsid w:val="00CE7A04"/>
    <w:rsid w:val="00CE7CFD"/>
    <w:rsid w:val="00CF1A7B"/>
    <w:rsid w:val="00CF7F96"/>
    <w:rsid w:val="00D01A70"/>
    <w:rsid w:val="00D025A5"/>
    <w:rsid w:val="00D10273"/>
    <w:rsid w:val="00D110E6"/>
    <w:rsid w:val="00D1758B"/>
    <w:rsid w:val="00D2112E"/>
    <w:rsid w:val="00D220BC"/>
    <w:rsid w:val="00D266B5"/>
    <w:rsid w:val="00D27127"/>
    <w:rsid w:val="00D27689"/>
    <w:rsid w:val="00D322B1"/>
    <w:rsid w:val="00D344B5"/>
    <w:rsid w:val="00D34929"/>
    <w:rsid w:val="00D366C5"/>
    <w:rsid w:val="00D36F5E"/>
    <w:rsid w:val="00D51624"/>
    <w:rsid w:val="00D563DB"/>
    <w:rsid w:val="00D56AB3"/>
    <w:rsid w:val="00D60A2D"/>
    <w:rsid w:val="00D63316"/>
    <w:rsid w:val="00D701F2"/>
    <w:rsid w:val="00D7151E"/>
    <w:rsid w:val="00D7253A"/>
    <w:rsid w:val="00D7660E"/>
    <w:rsid w:val="00D776BC"/>
    <w:rsid w:val="00D8062D"/>
    <w:rsid w:val="00D83E2A"/>
    <w:rsid w:val="00D925C9"/>
    <w:rsid w:val="00D93775"/>
    <w:rsid w:val="00DA6060"/>
    <w:rsid w:val="00DA7F18"/>
    <w:rsid w:val="00DB2C1B"/>
    <w:rsid w:val="00DC490A"/>
    <w:rsid w:val="00DC558F"/>
    <w:rsid w:val="00DC56A8"/>
    <w:rsid w:val="00DC69A0"/>
    <w:rsid w:val="00DD2271"/>
    <w:rsid w:val="00DD51EA"/>
    <w:rsid w:val="00DE2CBB"/>
    <w:rsid w:val="00DE34E2"/>
    <w:rsid w:val="00DE3F60"/>
    <w:rsid w:val="00DF79CC"/>
    <w:rsid w:val="00E035B7"/>
    <w:rsid w:val="00E03BC7"/>
    <w:rsid w:val="00E06ECB"/>
    <w:rsid w:val="00E07F3A"/>
    <w:rsid w:val="00E11DAB"/>
    <w:rsid w:val="00E11F42"/>
    <w:rsid w:val="00E150DB"/>
    <w:rsid w:val="00E160DE"/>
    <w:rsid w:val="00E2045C"/>
    <w:rsid w:val="00E20AE1"/>
    <w:rsid w:val="00E21FEC"/>
    <w:rsid w:val="00E22F2C"/>
    <w:rsid w:val="00E2699D"/>
    <w:rsid w:val="00E27072"/>
    <w:rsid w:val="00E2709F"/>
    <w:rsid w:val="00E32792"/>
    <w:rsid w:val="00E32FF9"/>
    <w:rsid w:val="00E340C0"/>
    <w:rsid w:val="00E45349"/>
    <w:rsid w:val="00E463CB"/>
    <w:rsid w:val="00E5276A"/>
    <w:rsid w:val="00E72EE1"/>
    <w:rsid w:val="00E75165"/>
    <w:rsid w:val="00E81040"/>
    <w:rsid w:val="00E87642"/>
    <w:rsid w:val="00E97279"/>
    <w:rsid w:val="00EA2650"/>
    <w:rsid w:val="00EB436B"/>
    <w:rsid w:val="00EB4B92"/>
    <w:rsid w:val="00EC112A"/>
    <w:rsid w:val="00EE378D"/>
    <w:rsid w:val="00EF21A3"/>
    <w:rsid w:val="00EF5FAF"/>
    <w:rsid w:val="00F03399"/>
    <w:rsid w:val="00F05E67"/>
    <w:rsid w:val="00F11BD6"/>
    <w:rsid w:val="00F16DE8"/>
    <w:rsid w:val="00F17B53"/>
    <w:rsid w:val="00F21CD8"/>
    <w:rsid w:val="00F25446"/>
    <w:rsid w:val="00F25B49"/>
    <w:rsid w:val="00F26880"/>
    <w:rsid w:val="00F274F3"/>
    <w:rsid w:val="00F32B7B"/>
    <w:rsid w:val="00F338DB"/>
    <w:rsid w:val="00F36FEF"/>
    <w:rsid w:val="00F37EAB"/>
    <w:rsid w:val="00F43466"/>
    <w:rsid w:val="00F46BCE"/>
    <w:rsid w:val="00F51B7E"/>
    <w:rsid w:val="00F53C63"/>
    <w:rsid w:val="00F57E1C"/>
    <w:rsid w:val="00F6040D"/>
    <w:rsid w:val="00F6092A"/>
    <w:rsid w:val="00F619A8"/>
    <w:rsid w:val="00F61B58"/>
    <w:rsid w:val="00F63C3B"/>
    <w:rsid w:val="00F64D98"/>
    <w:rsid w:val="00F65D35"/>
    <w:rsid w:val="00F74EEC"/>
    <w:rsid w:val="00F81B7F"/>
    <w:rsid w:val="00F85F81"/>
    <w:rsid w:val="00F87904"/>
    <w:rsid w:val="00F97930"/>
    <w:rsid w:val="00FA15EE"/>
    <w:rsid w:val="00FA172A"/>
    <w:rsid w:val="00FA5BD8"/>
    <w:rsid w:val="00FB53CE"/>
    <w:rsid w:val="00FC4E8B"/>
    <w:rsid w:val="00FD1C44"/>
    <w:rsid w:val="00FD3340"/>
    <w:rsid w:val="00FE5BD7"/>
    <w:rsid w:val="00FF7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272C"/>
    <w:rPr>
      <w:rFonts w:ascii="Times New Roman" w:eastAsia="Times New Roman" w:hAnsi="Times New Roman"/>
      <w:sz w:val="24"/>
      <w:szCs w:val="24"/>
    </w:rPr>
  </w:style>
  <w:style w:type="paragraph" w:styleId="Nadpis1">
    <w:name w:val="heading 1"/>
    <w:basedOn w:val="Normln"/>
    <w:next w:val="Normln"/>
    <w:link w:val="Nadpis1Char"/>
    <w:qFormat/>
    <w:rsid w:val="002D272C"/>
    <w:pPr>
      <w:numPr>
        <w:numId w:val="1"/>
      </w:numPr>
      <w:outlineLvl w:val="0"/>
    </w:pPr>
    <w:rPr>
      <w:rFonts w:ascii="Arial" w:hAnsi="Arial"/>
      <w:b/>
      <w:sz w:val="32"/>
      <w:szCs w:val="32"/>
      <w:lang w:val="x-none"/>
    </w:rPr>
  </w:style>
  <w:style w:type="paragraph" w:styleId="Nadpis2">
    <w:name w:val="heading 2"/>
    <w:basedOn w:val="Normln"/>
    <w:next w:val="Normln"/>
    <w:link w:val="Nadpis2Char"/>
    <w:autoRedefine/>
    <w:qFormat/>
    <w:rsid w:val="002D272C"/>
    <w:pPr>
      <w:keepNext/>
      <w:numPr>
        <w:ilvl w:val="1"/>
        <w:numId w:val="1"/>
      </w:numPr>
      <w:spacing w:before="480" w:after="180"/>
      <w:outlineLvl w:val="1"/>
    </w:pPr>
    <w:rPr>
      <w:rFonts w:ascii="Arial" w:hAnsi="Arial"/>
      <w:b/>
      <w:sz w:val="28"/>
      <w:lang w:val="x-none"/>
    </w:rPr>
  </w:style>
  <w:style w:type="paragraph" w:styleId="Nadpis3">
    <w:name w:val="heading 3"/>
    <w:basedOn w:val="Normln"/>
    <w:next w:val="Normln"/>
    <w:link w:val="Nadpis3Char"/>
    <w:qFormat/>
    <w:rsid w:val="002D272C"/>
    <w:pPr>
      <w:keepNext/>
      <w:numPr>
        <w:ilvl w:val="2"/>
        <w:numId w:val="1"/>
      </w:numPr>
      <w:spacing w:before="240" w:after="60"/>
      <w:outlineLvl w:val="2"/>
    </w:pPr>
    <w:rPr>
      <w:b/>
      <w:lang w:val="x-none"/>
    </w:rPr>
  </w:style>
  <w:style w:type="paragraph" w:styleId="Nadpis4">
    <w:name w:val="heading 4"/>
    <w:basedOn w:val="Nadpis3"/>
    <w:next w:val="Normln"/>
    <w:link w:val="Nadpis4Char"/>
    <w:qFormat/>
    <w:rsid w:val="002D272C"/>
    <w:pPr>
      <w:numPr>
        <w:ilvl w:val="3"/>
      </w:numPr>
      <w:spacing w:before="120"/>
      <w:outlineLvl w:val="3"/>
    </w:pPr>
    <w:rPr>
      <w:b w:val="0"/>
      <w:kern w:val="28"/>
    </w:rPr>
  </w:style>
  <w:style w:type="paragraph" w:styleId="Nadpis8">
    <w:name w:val="heading 8"/>
    <w:basedOn w:val="Normln"/>
    <w:next w:val="Normln"/>
    <w:link w:val="Nadpis8Char"/>
    <w:qFormat/>
    <w:rsid w:val="002D272C"/>
    <w:pPr>
      <w:numPr>
        <w:ilvl w:val="7"/>
        <w:numId w:val="1"/>
      </w:numPr>
      <w:spacing w:before="240" w:after="60"/>
      <w:outlineLvl w:val="7"/>
    </w:pPr>
    <w:rPr>
      <w:rFonts w:ascii="Arial" w:hAnsi="Arial"/>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D272C"/>
    <w:pPr>
      <w:tabs>
        <w:tab w:val="center" w:pos="4536"/>
        <w:tab w:val="right" w:pos="9072"/>
      </w:tabs>
    </w:pPr>
  </w:style>
  <w:style w:type="character" w:customStyle="1" w:styleId="ZhlavChar">
    <w:name w:val="Záhlaví Char"/>
    <w:basedOn w:val="Standardnpsmoodstavce"/>
    <w:link w:val="Zhlav"/>
    <w:uiPriority w:val="99"/>
    <w:rsid w:val="002D272C"/>
  </w:style>
  <w:style w:type="paragraph" w:styleId="Zpat">
    <w:name w:val="footer"/>
    <w:basedOn w:val="Normln"/>
    <w:link w:val="ZpatChar"/>
    <w:uiPriority w:val="99"/>
    <w:unhideWhenUsed/>
    <w:rsid w:val="002D272C"/>
    <w:pPr>
      <w:tabs>
        <w:tab w:val="center" w:pos="4536"/>
        <w:tab w:val="right" w:pos="9072"/>
      </w:tabs>
    </w:pPr>
  </w:style>
  <w:style w:type="character" w:customStyle="1" w:styleId="ZpatChar">
    <w:name w:val="Zápatí Char"/>
    <w:basedOn w:val="Standardnpsmoodstavce"/>
    <w:link w:val="Zpat"/>
    <w:uiPriority w:val="99"/>
    <w:rsid w:val="002D272C"/>
  </w:style>
  <w:style w:type="character" w:customStyle="1" w:styleId="Nadpis1Char">
    <w:name w:val="Nadpis 1 Char"/>
    <w:link w:val="Nadpis1"/>
    <w:rsid w:val="002D272C"/>
    <w:rPr>
      <w:rFonts w:ascii="Arial" w:eastAsia="Times New Roman" w:hAnsi="Arial" w:cs="Times New Roman"/>
      <w:b/>
      <w:sz w:val="32"/>
      <w:szCs w:val="32"/>
      <w:lang w:eastAsia="cs-CZ"/>
    </w:rPr>
  </w:style>
  <w:style w:type="character" w:customStyle="1" w:styleId="Nadpis2Char">
    <w:name w:val="Nadpis 2 Char"/>
    <w:link w:val="Nadpis2"/>
    <w:rsid w:val="002D272C"/>
    <w:rPr>
      <w:rFonts w:ascii="Arial" w:eastAsia="Times New Roman" w:hAnsi="Arial" w:cs="Times New Roman"/>
      <w:b/>
      <w:sz w:val="28"/>
      <w:szCs w:val="24"/>
      <w:lang w:eastAsia="cs-CZ"/>
    </w:rPr>
  </w:style>
  <w:style w:type="character" w:customStyle="1" w:styleId="Nadpis3Char">
    <w:name w:val="Nadpis 3 Char"/>
    <w:link w:val="Nadpis3"/>
    <w:rsid w:val="002D272C"/>
    <w:rPr>
      <w:rFonts w:ascii="Times New Roman" w:eastAsia="Times New Roman" w:hAnsi="Times New Roman" w:cs="Times New Roman"/>
      <w:b/>
      <w:sz w:val="24"/>
      <w:szCs w:val="24"/>
      <w:lang w:eastAsia="cs-CZ"/>
    </w:rPr>
  </w:style>
  <w:style w:type="character" w:customStyle="1" w:styleId="Nadpis4Char">
    <w:name w:val="Nadpis 4 Char"/>
    <w:link w:val="Nadpis4"/>
    <w:rsid w:val="002D272C"/>
    <w:rPr>
      <w:rFonts w:ascii="Times New Roman" w:eastAsia="Times New Roman" w:hAnsi="Times New Roman" w:cs="Times New Roman"/>
      <w:kern w:val="28"/>
      <w:sz w:val="24"/>
      <w:szCs w:val="24"/>
      <w:lang w:eastAsia="cs-CZ"/>
    </w:rPr>
  </w:style>
  <w:style w:type="character" w:customStyle="1" w:styleId="Nadpis8Char">
    <w:name w:val="Nadpis 8 Char"/>
    <w:link w:val="Nadpis8"/>
    <w:rsid w:val="002D272C"/>
    <w:rPr>
      <w:rFonts w:ascii="Arial" w:eastAsia="Times New Roman" w:hAnsi="Arial" w:cs="Times New Roman"/>
      <w:i/>
      <w:sz w:val="24"/>
      <w:szCs w:val="24"/>
      <w:lang w:eastAsia="cs-CZ"/>
    </w:rPr>
  </w:style>
  <w:style w:type="paragraph" w:styleId="Textpoznpodarou">
    <w:name w:val="footnote text"/>
    <w:aliases w:val="Text pozn. pod čarou Char2,Text pozn. pod čarou Char Char,Text pozn. pod čarou Char1 Char,Schriftart: 8 pt Char,Text pozn. pod čarou Char1,Schriftart: 8 pt,Schriftart: 9 pt,Schriftart: 10 pt,pozn. pod čarou,Footnote,Fußnotentextf,f"/>
    <w:basedOn w:val="Normln"/>
    <w:link w:val="TextpoznpodarouChar"/>
    <w:semiHidden/>
    <w:unhideWhenUsed/>
    <w:rsid w:val="00631129"/>
    <w:pPr>
      <w:spacing w:after="200" w:line="276" w:lineRule="auto"/>
    </w:pPr>
    <w:rPr>
      <w:rFonts w:ascii="Calibri" w:eastAsia="Calibri" w:hAnsi="Calibri"/>
      <w:sz w:val="20"/>
      <w:szCs w:val="20"/>
      <w:lang w:val="en-US" w:eastAsia="en-US"/>
    </w:rPr>
  </w:style>
  <w:style w:type="character" w:customStyle="1" w:styleId="TextpoznpodarouChar">
    <w:name w:val="Text pozn. pod čarou Char"/>
    <w:aliases w:val="Text pozn. pod čarou Char2 Char,Text pozn. pod čarou Char Char Char,Text pozn. pod čarou Char1 Char Char,Schriftart: 8 pt Char Char,Text pozn. pod čarou Char1 Char1,Schriftart: 8 pt Char1,Schriftart: 9 pt Char,Footnote Char"/>
    <w:link w:val="Textpoznpodarou"/>
    <w:semiHidden/>
    <w:rsid w:val="00631129"/>
    <w:rPr>
      <w:lang w:val="en-US" w:eastAsia="en-US"/>
    </w:rPr>
  </w:style>
  <w:style w:type="character" w:styleId="Znakapoznpodarou">
    <w:name w:val="footnote reference"/>
    <w:aliases w:val="PGI Fußnote Ziffer + Times New Roman,12 b.,Zúžené o ...,PGI Fußnote Ziffer"/>
    <w:unhideWhenUsed/>
    <w:rsid w:val="00631129"/>
    <w:rPr>
      <w:vertAlign w:val="superscript"/>
    </w:rPr>
  </w:style>
  <w:style w:type="paragraph" w:styleId="Textbubliny">
    <w:name w:val="Balloon Text"/>
    <w:basedOn w:val="Normln"/>
    <w:link w:val="TextbublinyChar"/>
    <w:uiPriority w:val="99"/>
    <w:semiHidden/>
    <w:unhideWhenUsed/>
    <w:rsid w:val="00240C32"/>
    <w:rPr>
      <w:rFonts w:ascii="Tahoma" w:hAnsi="Tahoma"/>
      <w:sz w:val="16"/>
      <w:szCs w:val="16"/>
      <w:lang w:val="x-none" w:eastAsia="x-none"/>
    </w:rPr>
  </w:style>
  <w:style w:type="character" w:customStyle="1" w:styleId="TextbublinyChar">
    <w:name w:val="Text bubliny Char"/>
    <w:link w:val="Textbubliny"/>
    <w:uiPriority w:val="99"/>
    <w:semiHidden/>
    <w:rsid w:val="00240C32"/>
    <w:rPr>
      <w:rFonts w:ascii="Tahoma" w:eastAsia="Times New Roman" w:hAnsi="Tahoma" w:cs="Tahoma"/>
      <w:sz w:val="16"/>
      <w:szCs w:val="16"/>
    </w:rPr>
  </w:style>
  <w:style w:type="table" w:styleId="Mkatabulky">
    <w:name w:val="Table Grid"/>
    <w:basedOn w:val="Normlntabulka"/>
    <w:rsid w:val="00240C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uiPriority w:val="99"/>
    <w:semiHidden/>
    <w:unhideWhenUsed/>
    <w:rsid w:val="00D27127"/>
    <w:rPr>
      <w:sz w:val="16"/>
      <w:szCs w:val="16"/>
    </w:rPr>
  </w:style>
  <w:style w:type="paragraph" w:styleId="Textkomente">
    <w:name w:val="annotation text"/>
    <w:basedOn w:val="Normln"/>
    <w:link w:val="TextkomenteChar"/>
    <w:uiPriority w:val="99"/>
    <w:semiHidden/>
    <w:unhideWhenUsed/>
    <w:rsid w:val="00D27127"/>
    <w:rPr>
      <w:sz w:val="20"/>
      <w:szCs w:val="20"/>
      <w:lang w:val="x-none" w:eastAsia="x-none"/>
    </w:rPr>
  </w:style>
  <w:style w:type="character" w:customStyle="1" w:styleId="TextkomenteChar">
    <w:name w:val="Text komentáře Char"/>
    <w:link w:val="Textkomente"/>
    <w:uiPriority w:val="99"/>
    <w:semiHidden/>
    <w:rsid w:val="00D27127"/>
    <w:rPr>
      <w:rFonts w:ascii="Times New Roman" w:eastAsia="Times New Roman" w:hAnsi="Times New Roman"/>
    </w:rPr>
  </w:style>
  <w:style w:type="paragraph" w:styleId="Zkladntextodsazen">
    <w:name w:val="Body Text Indent"/>
    <w:basedOn w:val="Normln"/>
    <w:link w:val="ZkladntextodsazenChar"/>
    <w:rsid w:val="00F619A8"/>
    <w:pPr>
      <w:spacing w:after="120"/>
      <w:ind w:left="283"/>
    </w:pPr>
    <w:rPr>
      <w:lang w:val="x-none" w:eastAsia="x-none"/>
    </w:rPr>
  </w:style>
  <w:style w:type="character" w:customStyle="1" w:styleId="ZkladntextodsazenChar">
    <w:name w:val="Základní text odsazený Char"/>
    <w:link w:val="Zkladntextodsazen"/>
    <w:rsid w:val="00F619A8"/>
    <w:rPr>
      <w:rFonts w:ascii="Times New Roman" w:eastAsia="Times New Roman" w:hAnsi="Times New Roman"/>
      <w:sz w:val="24"/>
      <w:szCs w:val="24"/>
    </w:rPr>
  </w:style>
  <w:style w:type="paragraph" w:styleId="Zkladntext">
    <w:name w:val="Body Text"/>
    <w:basedOn w:val="Normln"/>
    <w:link w:val="ZkladntextChar"/>
    <w:rsid w:val="00F619A8"/>
    <w:pPr>
      <w:spacing w:after="120"/>
    </w:pPr>
    <w:rPr>
      <w:lang w:val="x-none" w:eastAsia="x-none"/>
    </w:rPr>
  </w:style>
  <w:style w:type="character" w:customStyle="1" w:styleId="ZkladntextChar">
    <w:name w:val="Základní text Char"/>
    <w:link w:val="Zkladntext"/>
    <w:rsid w:val="00F619A8"/>
    <w:rPr>
      <w:rFonts w:ascii="Times New Roman" w:eastAsia="Times New Roman" w:hAnsi="Times New Roman"/>
      <w:sz w:val="24"/>
      <w:szCs w:val="24"/>
    </w:rPr>
  </w:style>
  <w:style w:type="paragraph" w:customStyle="1" w:styleId="p1">
    <w:name w:val="p1"/>
    <w:basedOn w:val="Normln"/>
    <w:rsid w:val="00F619A8"/>
    <w:pPr>
      <w:widowControl w:val="0"/>
      <w:numPr>
        <w:ilvl w:val="1"/>
        <w:numId w:val="14"/>
      </w:numPr>
      <w:adjustRightInd w:val="0"/>
      <w:spacing w:line="360" w:lineRule="atLeast"/>
      <w:jc w:val="both"/>
      <w:textAlignment w:val="baseline"/>
    </w:pPr>
  </w:style>
  <w:style w:type="paragraph" w:styleId="Zkladntext3">
    <w:name w:val="Body Text 3"/>
    <w:basedOn w:val="Normln"/>
    <w:link w:val="Zkladntext3Char"/>
    <w:rsid w:val="00F619A8"/>
    <w:pPr>
      <w:spacing w:after="120"/>
    </w:pPr>
    <w:rPr>
      <w:sz w:val="16"/>
      <w:szCs w:val="16"/>
      <w:lang w:val="x-none" w:eastAsia="x-none"/>
    </w:rPr>
  </w:style>
  <w:style w:type="character" w:customStyle="1" w:styleId="Zkladntext3Char">
    <w:name w:val="Základní text 3 Char"/>
    <w:link w:val="Zkladntext3"/>
    <w:rsid w:val="00F619A8"/>
    <w:rPr>
      <w:rFonts w:ascii="Times New Roman" w:eastAsia="Times New Roman" w:hAnsi="Times New Roman"/>
      <w:sz w:val="16"/>
      <w:szCs w:val="16"/>
    </w:rPr>
  </w:style>
  <w:style w:type="paragraph" w:customStyle="1" w:styleId="slovan-2rove">
    <w:name w:val="číslovaný - 2. úroveň"/>
    <w:basedOn w:val="Normln"/>
    <w:rsid w:val="00F619A8"/>
    <w:pPr>
      <w:jc w:val="both"/>
    </w:pPr>
    <w:rPr>
      <w:szCs w:val="20"/>
    </w:rPr>
  </w:style>
  <w:style w:type="paragraph" w:styleId="slovanseznam">
    <w:name w:val="List Number"/>
    <w:basedOn w:val="Normln"/>
    <w:rsid w:val="00F619A8"/>
    <w:pPr>
      <w:numPr>
        <w:numId w:val="25"/>
      </w:numPr>
      <w:tabs>
        <w:tab w:val="clear" w:pos="360"/>
        <w:tab w:val="left" w:pos="567"/>
      </w:tabs>
      <w:ind w:left="567" w:hanging="567"/>
      <w:jc w:val="both"/>
    </w:pPr>
    <w:rPr>
      <w:rFonts w:ascii="Arial" w:hAnsi="Arial" w:cs="Arial"/>
      <w:sz w:val="20"/>
      <w:szCs w:val="20"/>
    </w:rPr>
  </w:style>
  <w:style w:type="paragraph" w:styleId="Odstavecseseznamem">
    <w:name w:val="List Paragraph"/>
    <w:basedOn w:val="Normln"/>
    <w:uiPriority w:val="34"/>
    <w:qFormat/>
    <w:rsid w:val="00F619A8"/>
    <w:pPr>
      <w:ind w:left="708"/>
    </w:pPr>
  </w:style>
  <w:style w:type="paragraph" w:styleId="Revize">
    <w:name w:val="Revision"/>
    <w:hidden/>
    <w:uiPriority w:val="99"/>
    <w:semiHidden/>
    <w:rsid w:val="005A60FD"/>
    <w:rPr>
      <w:rFonts w:ascii="Times New Roman" w:eastAsia="Times New Roman" w:hAnsi="Times New Roman"/>
      <w:sz w:val="24"/>
      <w:szCs w:val="24"/>
    </w:rPr>
  </w:style>
  <w:style w:type="paragraph" w:styleId="Pedmtkomente">
    <w:name w:val="annotation subject"/>
    <w:basedOn w:val="Textkomente"/>
    <w:next w:val="Textkomente"/>
    <w:link w:val="PedmtkomenteChar"/>
    <w:uiPriority w:val="99"/>
    <w:semiHidden/>
    <w:unhideWhenUsed/>
    <w:rsid w:val="008F0891"/>
    <w:rPr>
      <w:b/>
      <w:bCs/>
      <w:lang w:val="cs-CZ" w:eastAsia="cs-CZ"/>
    </w:rPr>
  </w:style>
  <w:style w:type="character" w:customStyle="1" w:styleId="PedmtkomenteChar">
    <w:name w:val="Předmět komentáře Char"/>
    <w:link w:val="Pedmtkomente"/>
    <w:uiPriority w:val="99"/>
    <w:semiHidden/>
    <w:rsid w:val="008F0891"/>
    <w:rPr>
      <w:rFonts w:ascii="Times New Roman" w:eastAsia="Times New Roman" w:hAnsi="Times New Roman"/>
      <w:b/>
      <w:bCs/>
    </w:rPr>
  </w:style>
  <w:style w:type="paragraph" w:customStyle="1" w:styleId="Mjstyl3">
    <w:name w:val="Můj styl 3"/>
    <w:basedOn w:val="Normln"/>
    <w:next w:val="Normln"/>
    <w:qFormat/>
    <w:rsid w:val="0019348F"/>
    <w:pPr>
      <w:numPr>
        <w:ilvl w:val="1"/>
        <w:numId w:val="38"/>
      </w:numPr>
      <w:spacing w:before="120" w:after="120"/>
      <w:jc w:val="both"/>
    </w:pPr>
    <w:rPr>
      <w:rFonts w:ascii="Arial" w:hAnsi="Arial" w:cs="Arial"/>
      <w:sz w:val="22"/>
      <w:szCs w:val="22"/>
    </w:rPr>
  </w:style>
  <w:style w:type="paragraph" w:customStyle="1" w:styleId="Mjstyl4">
    <w:name w:val="Můj styl 4"/>
    <w:basedOn w:val="Zkladntext"/>
    <w:qFormat/>
    <w:rsid w:val="0019348F"/>
    <w:pPr>
      <w:numPr>
        <w:ilvl w:val="2"/>
        <w:numId w:val="39"/>
      </w:numPr>
      <w:jc w:val="both"/>
    </w:pPr>
    <w:rPr>
      <w:rFonts w:ascii="Arial" w:hAnsi="Arial" w:cs="Arial"/>
      <w:sz w:val="22"/>
      <w:szCs w:val="22"/>
      <w:lang w:val="cs-CZ" w:eastAsia="cs-CZ"/>
    </w:rPr>
  </w:style>
  <w:style w:type="table" w:customStyle="1" w:styleId="Mkatabulky1">
    <w:name w:val="Mřížka tabulky1"/>
    <w:basedOn w:val="Normlntabulka"/>
    <w:next w:val="Mkatabulky"/>
    <w:rsid w:val="001934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
    <w:name w:val="Char Char1 Char Char Char"/>
    <w:basedOn w:val="Normln"/>
    <w:rsid w:val="008F3030"/>
    <w:pPr>
      <w:spacing w:after="160" w:line="240" w:lineRule="exact"/>
    </w:pPr>
    <w:rPr>
      <w:rFonts w:ascii="Verdana" w:hAnsi="Verdana" w:cs="Arial"/>
      <w:sz w:val="20"/>
      <w:szCs w:val="20"/>
      <w:lang w:val="en-US" w:eastAsia="en-US"/>
    </w:rPr>
  </w:style>
  <w:style w:type="paragraph" w:styleId="Normlnweb">
    <w:name w:val="Normal (Web)"/>
    <w:basedOn w:val="Normln"/>
    <w:uiPriority w:val="99"/>
    <w:unhideWhenUsed/>
    <w:rsid w:val="008F3030"/>
    <w:pPr>
      <w:spacing w:before="100" w:beforeAutospacing="1" w:after="100" w:afterAutospacing="1"/>
    </w:pPr>
  </w:style>
  <w:style w:type="paragraph" w:customStyle="1" w:styleId="Default">
    <w:name w:val="Default"/>
    <w:rsid w:val="0029794B"/>
    <w:pPr>
      <w:autoSpaceDE w:val="0"/>
      <w:autoSpaceDN w:val="0"/>
      <w:adjustRightInd w:val="0"/>
    </w:pPr>
    <w:rPr>
      <w:rFonts w:ascii="Times New Roman" w:hAnsi="Times New Roman"/>
      <w:color w:val="000000"/>
      <w:sz w:val="24"/>
      <w:szCs w:val="24"/>
    </w:rPr>
  </w:style>
  <w:style w:type="character" w:styleId="Hypertextovodkaz">
    <w:name w:val="Hyperlink"/>
    <w:uiPriority w:val="99"/>
    <w:unhideWhenUsed/>
    <w:rsid w:val="00BA6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272C"/>
    <w:rPr>
      <w:rFonts w:ascii="Times New Roman" w:eastAsia="Times New Roman" w:hAnsi="Times New Roman"/>
      <w:sz w:val="24"/>
      <w:szCs w:val="24"/>
    </w:rPr>
  </w:style>
  <w:style w:type="paragraph" w:styleId="Nadpis1">
    <w:name w:val="heading 1"/>
    <w:basedOn w:val="Normln"/>
    <w:next w:val="Normln"/>
    <w:link w:val="Nadpis1Char"/>
    <w:qFormat/>
    <w:rsid w:val="002D272C"/>
    <w:pPr>
      <w:numPr>
        <w:numId w:val="1"/>
      </w:numPr>
      <w:outlineLvl w:val="0"/>
    </w:pPr>
    <w:rPr>
      <w:rFonts w:ascii="Arial" w:hAnsi="Arial"/>
      <w:b/>
      <w:sz w:val="32"/>
      <w:szCs w:val="32"/>
      <w:lang w:val="x-none"/>
    </w:rPr>
  </w:style>
  <w:style w:type="paragraph" w:styleId="Nadpis2">
    <w:name w:val="heading 2"/>
    <w:basedOn w:val="Normln"/>
    <w:next w:val="Normln"/>
    <w:link w:val="Nadpis2Char"/>
    <w:autoRedefine/>
    <w:qFormat/>
    <w:rsid w:val="002D272C"/>
    <w:pPr>
      <w:keepNext/>
      <w:numPr>
        <w:ilvl w:val="1"/>
        <w:numId w:val="1"/>
      </w:numPr>
      <w:spacing w:before="480" w:after="180"/>
      <w:outlineLvl w:val="1"/>
    </w:pPr>
    <w:rPr>
      <w:rFonts w:ascii="Arial" w:hAnsi="Arial"/>
      <w:b/>
      <w:sz w:val="28"/>
      <w:lang w:val="x-none"/>
    </w:rPr>
  </w:style>
  <w:style w:type="paragraph" w:styleId="Nadpis3">
    <w:name w:val="heading 3"/>
    <w:basedOn w:val="Normln"/>
    <w:next w:val="Normln"/>
    <w:link w:val="Nadpis3Char"/>
    <w:qFormat/>
    <w:rsid w:val="002D272C"/>
    <w:pPr>
      <w:keepNext/>
      <w:numPr>
        <w:ilvl w:val="2"/>
        <w:numId w:val="1"/>
      </w:numPr>
      <w:spacing w:before="240" w:after="60"/>
      <w:outlineLvl w:val="2"/>
    </w:pPr>
    <w:rPr>
      <w:b/>
      <w:lang w:val="x-none"/>
    </w:rPr>
  </w:style>
  <w:style w:type="paragraph" w:styleId="Nadpis4">
    <w:name w:val="heading 4"/>
    <w:basedOn w:val="Nadpis3"/>
    <w:next w:val="Normln"/>
    <w:link w:val="Nadpis4Char"/>
    <w:qFormat/>
    <w:rsid w:val="002D272C"/>
    <w:pPr>
      <w:numPr>
        <w:ilvl w:val="3"/>
      </w:numPr>
      <w:spacing w:before="120"/>
      <w:outlineLvl w:val="3"/>
    </w:pPr>
    <w:rPr>
      <w:b w:val="0"/>
      <w:kern w:val="28"/>
    </w:rPr>
  </w:style>
  <w:style w:type="paragraph" w:styleId="Nadpis8">
    <w:name w:val="heading 8"/>
    <w:basedOn w:val="Normln"/>
    <w:next w:val="Normln"/>
    <w:link w:val="Nadpis8Char"/>
    <w:qFormat/>
    <w:rsid w:val="002D272C"/>
    <w:pPr>
      <w:numPr>
        <w:ilvl w:val="7"/>
        <w:numId w:val="1"/>
      </w:numPr>
      <w:spacing w:before="240" w:after="60"/>
      <w:outlineLvl w:val="7"/>
    </w:pPr>
    <w:rPr>
      <w:rFonts w:ascii="Arial" w:hAnsi="Arial"/>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D272C"/>
    <w:pPr>
      <w:tabs>
        <w:tab w:val="center" w:pos="4536"/>
        <w:tab w:val="right" w:pos="9072"/>
      </w:tabs>
    </w:pPr>
  </w:style>
  <w:style w:type="character" w:customStyle="1" w:styleId="ZhlavChar">
    <w:name w:val="Záhlaví Char"/>
    <w:basedOn w:val="Standardnpsmoodstavce"/>
    <w:link w:val="Zhlav"/>
    <w:uiPriority w:val="99"/>
    <w:rsid w:val="002D272C"/>
  </w:style>
  <w:style w:type="paragraph" w:styleId="Zpat">
    <w:name w:val="footer"/>
    <w:basedOn w:val="Normln"/>
    <w:link w:val="ZpatChar"/>
    <w:uiPriority w:val="99"/>
    <w:unhideWhenUsed/>
    <w:rsid w:val="002D272C"/>
    <w:pPr>
      <w:tabs>
        <w:tab w:val="center" w:pos="4536"/>
        <w:tab w:val="right" w:pos="9072"/>
      </w:tabs>
    </w:pPr>
  </w:style>
  <w:style w:type="character" w:customStyle="1" w:styleId="ZpatChar">
    <w:name w:val="Zápatí Char"/>
    <w:basedOn w:val="Standardnpsmoodstavce"/>
    <w:link w:val="Zpat"/>
    <w:uiPriority w:val="99"/>
    <w:rsid w:val="002D272C"/>
  </w:style>
  <w:style w:type="character" w:customStyle="1" w:styleId="Nadpis1Char">
    <w:name w:val="Nadpis 1 Char"/>
    <w:link w:val="Nadpis1"/>
    <w:rsid w:val="002D272C"/>
    <w:rPr>
      <w:rFonts w:ascii="Arial" w:eastAsia="Times New Roman" w:hAnsi="Arial" w:cs="Times New Roman"/>
      <w:b/>
      <w:sz w:val="32"/>
      <w:szCs w:val="32"/>
      <w:lang w:eastAsia="cs-CZ"/>
    </w:rPr>
  </w:style>
  <w:style w:type="character" w:customStyle="1" w:styleId="Nadpis2Char">
    <w:name w:val="Nadpis 2 Char"/>
    <w:link w:val="Nadpis2"/>
    <w:rsid w:val="002D272C"/>
    <w:rPr>
      <w:rFonts w:ascii="Arial" w:eastAsia="Times New Roman" w:hAnsi="Arial" w:cs="Times New Roman"/>
      <w:b/>
      <w:sz w:val="28"/>
      <w:szCs w:val="24"/>
      <w:lang w:eastAsia="cs-CZ"/>
    </w:rPr>
  </w:style>
  <w:style w:type="character" w:customStyle="1" w:styleId="Nadpis3Char">
    <w:name w:val="Nadpis 3 Char"/>
    <w:link w:val="Nadpis3"/>
    <w:rsid w:val="002D272C"/>
    <w:rPr>
      <w:rFonts w:ascii="Times New Roman" w:eastAsia="Times New Roman" w:hAnsi="Times New Roman" w:cs="Times New Roman"/>
      <w:b/>
      <w:sz w:val="24"/>
      <w:szCs w:val="24"/>
      <w:lang w:eastAsia="cs-CZ"/>
    </w:rPr>
  </w:style>
  <w:style w:type="character" w:customStyle="1" w:styleId="Nadpis4Char">
    <w:name w:val="Nadpis 4 Char"/>
    <w:link w:val="Nadpis4"/>
    <w:rsid w:val="002D272C"/>
    <w:rPr>
      <w:rFonts w:ascii="Times New Roman" w:eastAsia="Times New Roman" w:hAnsi="Times New Roman" w:cs="Times New Roman"/>
      <w:kern w:val="28"/>
      <w:sz w:val="24"/>
      <w:szCs w:val="24"/>
      <w:lang w:eastAsia="cs-CZ"/>
    </w:rPr>
  </w:style>
  <w:style w:type="character" w:customStyle="1" w:styleId="Nadpis8Char">
    <w:name w:val="Nadpis 8 Char"/>
    <w:link w:val="Nadpis8"/>
    <w:rsid w:val="002D272C"/>
    <w:rPr>
      <w:rFonts w:ascii="Arial" w:eastAsia="Times New Roman" w:hAnsi="Arial" w:cs="Times New Roman"/>
      <w:i/>
      <w:sz w:val="24"/>
      <w:szCs w:val="24"/>
      <w:lang w:eastAsia="cs-CZ"/>
    </w:rPr>
  </w:style>
  <w:style w:type="paragraph" w:styleId="Textpoznpodarou">
    <w:name w:val="footnote text"/>
    <w:aliases w:val="Text pozn. pod čarou Char2,Text pozn. pod čarou Char Char,Text pozn. pod čarou Char1 Char,Schriftart: 8 pt Char,Text pozn. pod čarou Char1,Schriftart: 8 pt,Schriftart: 9 pt,Schriftart: 10 pt,pozn. pod čarou,Footnote,Fußnotentextf,f"/>
    <w:basedOn w:val="Normln"/>
    <w:link w:val="TextpoznpodarouChar"/>
    <w:semiHidden/>
    <w:unhideWhenUsed/>
    <w:rsid w:val="00631129"/>
    <w:pPr>
      <w:spacing w:after="200" w:line="276" w:lineRule="auto"/>
    </w:pPr>
    <w:rPr>
      <w:rFonts w:ascii="Calibri" w:eastAsia="Calibri" w:hAnsi="Calibri"/>
      <w:sz w:val="20"/>
      <w:szCs w:val="20"/>
      <w:lang w:val="en-US" w:eastAsia="en-US"/>
    </w:rPr>
  </w:style>
  <w:style w:type="character" w:customStyle="1" w:styleId="TextpoznpodarouChar">
    <w:name w:val="Text pozn. pod čarou Char"/>
    <w:aliases w:val="Text pozn. pod čarou Char2 Char,Text pozn. pod čarou Char Char Char,Text pozn. pod čarou Char1 Char Char,Schriftart: 8 pt Char Char,Text pozn. pod čarou Char1 Char1,Schriftart: 8 pt Char1,Schriftart: 9 pt Char,Footnote Char"/>
    <w:link w:val="Textpoznpodarou"/>
    <w:semiHidden/>
    <w:rsid w:val="00631129"/>
    <w:rPr>
      <w:lang w:val="en-US" w:eastAsia="en-US"/>
    </w:rPr>
  </w:style>
  <w:style w:type="character" w:styleId="Znakapoznpodarou">
    <w:name w:val="footnote reference"/>
    <w:aliases w:val="PGI Fußnote Ziffer + Times New Roman,12 b.,Zúžené o ...,PGI Fußnote Ziffer"/>
    <w:unhideWhenUsed/>
    <w:rsid w:val="00631129"/>
    <w:rPr>
      <w:vertAlign w:val="superscript"/>
    </w:rPr>
  </w:style>
  <w:style w:type="paragraph" w:styleId="Textbubliny">
    <w:name w:val="Balloon Text"/>
    <w:basedOn w:val="Normln"/>
    <w:link w:val="TextbublinyChar"/>
    <w:uiPriority w:val="99"/>
    <w:semiHidden/>
    <w:unhideWhenUsed/>
    <w:rsid w:val="00240C32"/>
    <w:rPr>
      <w:rFonts w:ascii="Tahoma" w:hAnsi="Tahoma"/>
      <w:sz w:val="16"/>
      <w:szCs w:val="16"/>
      <w:lang w:val="x-none" w:eastAsia="x-none"/>
    </w:rPr>
  </w:style>
  <w:style w:type="character" w:customStyle="1" w:styleId="TextbublinyChar">
    <w:name w:val="Text bubliny Char"/>
    <w:link w:val="Textbubliny"/>
    <w:uiPriority w:val="99"/>
    <w:semiHidden/>
    <w:rsid w:val="00240C32"/>
    <w:rPr>
      <w:rFonts w:ascii="Tahoma" w:eastAsia="Times New Roman" w:hAnsi="Tahoma" w:cs="Tahoma"/>
      <w:sz w:val="16"/>
      <w:szCs w:val="16"/>
    </w:rPr>
  </w:style>
  <w:style w:type="table" w:styleId="Mkatabulky">
    <w:name w:val="Table Grid"/>
    <w:basedOn w:val="Normlntabulka"/>
    <w:rsid w:val="00240C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uiPriority w:val="99"/>
    <w:semiHidden/>
    <w:unhideWhenUsed/>
    <w:rsid w:val="00D27127"/>
    <w:rPr>
      <w:sz w:val="16"/>
      <w:szCs w:val="16"/>
    </w:rPr>
  </w:style>
  <w:style w:type="paragraph" w:styleId="Textkomente">
    <w:name w:val="annotation text"/>
    <w:basedOn w:val="Normln"/>
    <w:link w:val="TextkomenteChar"/>
    <w:uiPriority w:val="99"/>
    <w:semiHidden/>
    <w:unhideWhenUsed/>
    <w:rsid w:val="00D27127"/>
    <w:rPr>
      <w:sz w:val="20"/>
      <w:szCs w:val="20"/>
      <w:lang w:val="x-none" w:eastAsia="x-none"/>
    </w:rPr>
  </w:style>
  <w:style w:type="character" w:customStyle="1" w:styleId="TextkomenteChar">
    <w:name w:val="Text komentáře Char"/>
    <w:link w:val="Textkomente"/>
    <w:uiPriority w:val="99"/>
    <w:semiHidden/>
    <w:rsid w:val="00D27127"/>
    <w:rPr>
      <w:rFonts w:ascii="Times New Roman" w:eastAsia="Times New Roman" w:hAnsi="Times New Roman"/>
    </w:rPr>
  </w:style>
  <w:style w:type="paragraph" w:styleId="Zkladntextodsazen">
    <w:name w:val="Body Text Indent"/>
    <w:basedOn w:val="Normln"/>
    <w:link w:val="ZkladntextodsazenChar"/>
    <w:rsid w:val="00F619A8"/>
    <w:pPr>
      <w:spacing w:after="120"/>
      <w:ind w:left="283"/>
    </w:pPr>
    <w:rPr>
      <w:lang w:val="x-none" w:eastAsia="x-none"/>
    </w:rPr>
  </w:style>
  <w:style w:type="character" w:customStyle="1" w:styleId="ZkladntextodsazenChar">
    <w:name w:val="Základní text odsazený Char"/>
    <w:link w:val="Zkladntextodsazen"/>
    <w:rsid w:val="00F619A8"/>
    <w:rPr>
      <w:rFonts w:ascii="Times New Roman" w:eastAsia="Times New Roman" w:hAnsi="Times New Roman"/>
      <w:sz w:val="24"/>
      <w:szCs w:val="24"/>
    </w:rPr>
  </w:style>
  <w:style w:type="paragraph" w:styleId="Zkladntext">
    <w:name w:val="Body Text"/>
    <w:basedOn w:val="Normln"/>
    <w:link w:val="ZkladntextChar"/>
    <w:rsid w:val="00F619A8"/>
    <w:pPr>
      <w:spacing w:after="120"/>
    </w:pPr>
    <w:rPr>
      <w:lang w:val="x-none" w:eastAsia="x-none"/>
    </w:rPr>
  </w:style>
  <w:style w:type="character" w:customStyle="1" w:styleId="ZkladntextChar">
    <w:name w:val="Základní text Char"/>
    <w:link w:val="Zkladntext"/>
    <w:rsid w:val="00F619A8"/>
    <w:rPr>
      <w:rFonts w:ascii="Times New Roman" w:eastAsia="Times New Roman" w:hAnsi="Times New Roman"/>
      <w:sz w:val="24"/>
      <w:szCs w:val="24"/>
    </w:rPr>
  </w:style>
  <w:style w:type="paragraph" w:customStyle="1" w:styleId="p1">
    <w:name w:val="p1"/>
    <w:basedOn w:val="Normln"/>
    <w:rsid w:val="00F619A8"/>
    <w:pPr>
      <w:widowControl w:val="0"/>
      <w:numPr>
        <w:ilvl w:val="1"/>
        <w:numId w:val="14"/>
      </w:numPr>
      <w:adjustRightInd w:val="0"/>
      <w:spacing w:line="360" w:lineRule="atLeast"/>
      <w:jc w:val="both"/>
      <w:textAlignment w:val="baseline"/>
    </w:pPr>
  </w:style>
  <w:style w:type="paragraph" w:styleId="Zkladntext3">
    <w:name w:val="Body Text 3"/>
    <w:basedOn w:val="Normln"/>
    <w:link w:val="Zkladntext3Char"/>
    <w:rsid w:val="00F619A8"/>
    <w:pPr>
      <w:spacing w:after="120"/>
    </w:pPr>
    <w:rPr>
      <w:sz w:val="16"/>
      <w:szCs w:val="16"/>
      <w:lang w:val="x-none" w:eastAsia="x-none"/>
    </w:rPr>
  </w:style>
  <w:style w:type="character" w:customStyle="1" w:styleId="Zkladntext3Char">
    <w:name w:val="Základní text 3 Char"/>
    <w:link w:val="Zkladntext3"/>
    <w:rsid w:val="00F619A8"/>
    <w:rPr>
      <w:rFonts w:ascii="Times New Roman" w:eastAsia="Times New Roman" w:hAnsi="Times New Roman"/>
      <w:sz w:val="16"/>
      <w:szCs w:val="16"/>
    </w:rPr>
  </w:style>
  <w:style w:type="paragraph" w:customStyle="1" w:styleId="slovan-2rove">
    <w:name w:val="číslovaný - 2. úroveň"/>
    <w:basedOn w:val="Normln"/>
    <w:rsid w:val="00F619A8"/>
    <w:pPr>
      <w:jc w:val="both"/>
    </w:pPr>
    <w:rPr>
      <w:szCs w:val="20"/>
    </w:rPr>
  </w:style>
  <w:style w:type="paragraph" w:styleId="slovanseznam">
    <w:name w:val="List Number"/>
    <w:basedOn w:val="Normln"/>
    <w:rsid w:val="00F619A8"/>
    <w:pPr>
      <w:numPr>
        <w:numId w:val="25"/>
      </w:numPr>
      <w:tabs>
        <w:tab w:val="clear" w:pos="360"/>
        <w:tab w:val="left" w:pos="567"/>
      </w:tabs>
      <w:ind w:left="567" w:hanging="567"/>
      <w:jc w:val="both"/>
    </w:pPr>
    <w:rPr>
      <w:rFonts w:ascii="Arial" w:hAnsi="Arial" w:cs="Arial"/>
      <w:sz w:val="20"/>
      <w:szCs w:val="20"/>
    </w:rPr>
  </w:style>
  <w:style w:type="paragraph" w:styleId="Odstavecseseznamem">
    <w:name w:val="List Paragraph"/>
    <w:basedOn w:val="Normln"/>
    <w:uiPriority w:val="34"/>
    <w:qFormat/>
    <w:rsid w:val="00F619A8"/>
    <w:pPr>
      <w:ind w:left="708"/>
    </w:pPr>
  </w:style>
  <w:style w:type="paragraph" w:styleId="Revize">
    <w:name w:val="Revision"/>
    <w:hidden/>
    <w:uiPriority w:val="99"/>
    <w:semiHidden/>
    <w:rsid w:val="005A60FD"/>
    <w:rPr>
      <w:rFonts w:ascii="Times New Roman" w:eastAsia="Times New Roman" w:hAnsi="Times New Roman"/>
      <w:sz w:val="24"/>
      <w:szCs w:val="24"/>
    </w:rPr>
  </w:style>
  <w:style w:type="paragraph" w:styleId="Pedmtkomente">
    <w:name w:val="annotation subject"/>
    <w:basedOn w:val="Textkomente"/>
    <w:next w:val="Textkomente"/>
    <w:link w:val="PedmtkomenteChar"/>
    <w:uiPriority w:val="99"/>
    <w:semiHidden/>
    <w:unhideWhenUsed/>
    <w:rsid w:val="008F0891"/>
    <w:rPr>
      <w:b/>
      <w:bCs/>
      <w:lang w:val="cs-CZ" w:eastAsia="cs-CZ"/>
    </w:rPr>
  </w:style>
  <w:style w:type="character" w:customStyle="1" w:styleId="PedmtkomenteChar">
    <w:name w:val="Předmět komentáře Char"/>
    <w:link w:val="Pedmtkomente"/>
    <w:uiPriority w:val="99"/>
    <w:semiHidden/>
    <w:rsid w:val="008F0891"/>
    <w:rPr>
      <w:rFonts w:ascii="Times New Roman" w:eastAsia="Times New Roman" w:hAnsi="Times New Roman"/>
      <w:b/>
      <w:bCs/>
    </w:rPr>
  </w:style>
  <w:style w:type="paragraph" w:customStyle="1" w:styleId="Mjstyl3">
    <w:name w:val="Můj styl 3"/>
    <w:basedOn w:val="Normln"/>
    <w:next w:val="Normln"/>
    <w:qFormat/>
    <w:rsid w:val="0019348F"/>
    <w:pPr>
      <w:numPr>
        <w:ilvl w:val="1"/>
        <w:numId w:val="38"/>
      </w:numPr>
      <w:spacing w:before="120" w:after="120"/>
      <w:jc w:val="both"/>
    </w:pPr>
    <w:rPr>
      <w:rFonts w:ascii="Arial" w:hAnsi="Arial" w:cs="Arial"/>
      <w:sz w:val="22"/>
      <w:szCs w:val="22"/>
    </w:rPr>
  </w:style>
  <w:style w:type="paragraph" w:customStyle="1" w:styleId="Mjstyl4">
    <w:name w:val="Můj styl 4"/>
    <w:basedOn w:val="Zkladntext"/>
    <w:qFormat/>
    <w:rsid w:val="0019348F"/>
    <w:pPr>
      <w:numPr>
        <w:ilvl w:val="2"/>
        <w:numId w:val="39"/>
      </w:numPr>
      <w:jc w:val="both"/>
    </w:pPr>
    <w:rPr>
      <w:rFonts w:ascii="Arial" w:hAnsi="Arial" w:cs="Arial"/>
      <w:sz w:val="22"/>
      <w:szCs w:val="22"/>
      <w:lang w:val="cs-CZ" w:eastAsia="cs-CZ"/>
    </w:rPr>
  </w:style>
  <w:style w:type="table" w:customStyle="1" w:styleId="Mkatabulky1">
    <w:name w:val="Mřížka tabulky1"/>
    <w:basedOn w:val="Normlntabulka"/>
    <w:next w:val="Mkatabulky"/>
    <w:rsid w:val="001934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
    <w:name w:val="Char Char1 Char Char Char"/>
    <w:basedOn w:val="Normln"/>
    <w:rsid w:val="008F3030"/>
    <w:pPr>
      <w:spacing w:after="160" w:line="240" w:lineRule="exact"/>
    </w:pPr>
    <w:rPr>
      <w:rFonts w:ascii="Verdana" w:hAnsi="Verdana" w:cs="Arial"/>
      <w:sz w:val="20"/>
      <w:szCs w:val="20"/>
      <w:lang w:val="en-US" w:eastAsia="en-US"/>
    </w:rPr>
  </w:style>
  <w:style w:type="paragraph" w:styleId="Normlnweb">
    <w:name w:val="Normal (Web)"/>
    <w:basedOn w:val="Normln"/>
    <w:uiPriority w:val="99"/>
    <w:unhideWhenUsed/>
    <w:rsid w:val="008F3030"/>
    <w:pPr>
      <w:spacing w:before="100" w:beforeAutospacing="1" w:after="100" w:afterAutospacing="1"/>
    </w:pPr>
  </w:style>
  <w:style w:type="paragraph" w:customStyle="1" w:styleId="Default">
    <w:name w:val="Default"/>
    <w:rsid w:val="0029794B"/>
    <w:pPr>
      <w:autoSpaceDE w:val="0"/>
      <w:autoSpaceDN w:val="0"/>
      <w:adjustRightInd w:val="0"/>
    </w:pPr>
    <w:rPr>
      <w:rFonts w:ascii="Times New Roman" w:hAnsi="Times New Roman"/>
      <w:color w:val="000000"/>
      <w:sz w:val="24"/>
      <w:szCs w:val="24"/>
    </w:rPr>
  </w:style>
  <w:style w:type="character" w:styleId="Hypertextovodkaz">
    <w:name w:val="Hyperlink"/>
    <w:uiPriority w:val="99"/>
    <w:unhideWhenUsed/>
    <w:rsid w:val="00BA6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7401">
      <w:bodyDiv w:val="1"/>
      <w:marLeft w:val="0"/>
      <w:marRight w:val="0"/>
      <w:marTop w:val="0"/>
      <w:marBottom w:val="0"/>
      <w:divBdr>
        <w:top w:val="none" w:sz="0" w:space="0" w:color="auto"/>
        <w:left w:val="none" w:sz="0" w:space="0" w:color="auto"/>
        <w:bottom w:val="none" w:sz="0" w:space="0" w:color="auto"/>
        <w:right w:val="none" w:sz="0" w:space="0" w:color="auto"/>
      </w:divBdr>
    </w:div>
    <w:div w:id="667754492">
      <w:bodyDiv w:val="1"/>
      <w:marLeft w:val="0"/>
      <w:marRight w:val="0"/>
      <w:marTop w:val="0"/>
      <w:marBottom w:val="0"/>
      <w:divBdr>
        <w:top w:val="none" w:sz="0" w:space="0" w:color="auto"/>
        <w:left w:val="none" w:sz="0" w:space="0" w:color="auto"/>
        <w:bottom w:val="none" w:sz="0" w:space="0" w:color="auto"/>
        <w:right w:val="none" w:sz="0" w:space="0" w:color="auto"/>
      </w:divBdr>
    </w:div>
    <w:div w:id="949968952">
      <w:bodyDiv w:val="1"/>
      <w:marLeft w:val="0"/>
      <w:marRight w:val="0"/>
      <w:marTop w:val="0"/>
      <w:marBottom w:val="0"/>
      <w:divBdr>
        <w:top w:val="none" w:sz="0" w:space="0" w:color="auto"/>
        <w:left w:val="none" w:sz="0" w:space="0" w:color="auto"/>
        <w:bottom w:val="none" w:sz="0" w:space="0" w:color="auto"/>
        <w:right w:val="none" w:sz="0" w:space="0" w:color="auto"/>
      </w:divBdr>
    </w:div>
    <w:div w:id="1058743408">
      <w:bodyDiv w:val="1"/>
      <w:marLeft w:val="0"/>
      <w:marRight w:val="0"/>
      <w:marTop w:val="0"/>
      <w:marBottom w:val="0"/>
      <w:divBdr>
        <w:top w:val="none" w:sz="0" w:space="0" w:color="auto"/>
        <w:left w:val="none" w:sz="0" w:space="0" w:color="auto"/>
        <w:bottom w:val="none" w:sz="0" w:space="0" w:color="auto"/>
        <w:right w:val="none" w:sz="0" w:space="0" w:color="auto"/>
      </w:divBdr>
    </w:div>
    <w:div w:id="1323661834">
      <w:bodyDiv w:val="1"/>
      <w:marLeft w:val="0"/>
      <w:marRight w:val="0"/>
      <w:marTop w:val="0"/>
      <w:marBottom w:val="0"/>
      <w:divBdr>
        <w:top w:val="none" w:sz="0" w:space="0" w:color="auto"/>
        <w:left w:val="none" w:sz="0" w:space="0" w:color="auto"/>
        <w:bottom w:val="none" w:sz="0" w:space="0" w:color="auto"/>
        <w:right w:val="none" w:sz="0" w:space="0" w:color="auto"/>
      </w:divBdr>
    </w:div>
    <w:div w:id="1720786764">
      <w:bodyDiv w:val="1"/>
      <w:marLeft w:val="0"/>
      <w:marRight w:val="0"/>
      <w:marTop w:val="0"/>
      <w:marBottom w:val="0"/>
      <w:divBdr>
        <w:top w:val="none" w:sz="0" w:space="0" w:color="auto"/>
        <w:left w:val="none" w:sz="0" w:space="0" w:color="auto"/>
        <w:bottom w:val="none" w:sz="0" w:space="0" w:color="auto"/>
        <w:right w:val="none" w:sz="0" w:space="0" w:color="auto"/>
      </w:divBdr>
    </w:div>
    <w:div w:id="1913275469">
      <w:bodyDiv w:val="1"/>
      <w:marLeft w:val="0"/>
      <w:marRight w:val="0"/>
      <w:marTop w:val="0"/>
      <w:marBottom w:val="0"/>
      <w:divBdr>
        <w:top w:val="none" w:sz="0" w:space="0" w:color="auto"/>
        <w:left w:val="none" w:sz="0" w:space="0" w:color="auto"/>
        <w:bottom w:val="none" w:sz="0" w:space="0" w:color="auto"/>
        <w:right w:val="none" w:sz="0" w:space="0" w:color="auto"/>
      </w:divBdr>
    </w:div>
    <w:div w:id="2107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jihovychod.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8CDDA2D1B4B54AAEB66B14767CC8AD" ma:contentTypeVersion="0" ma:contentTypeDescription="Vytvořit nový dokument" ma:contentTypeScope="" ma:versionID="7abd74bf21c2e4676d3b3fe35b8b1dd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F809-2036-4F0D-BA99-EA54E383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6A7F47-B7E0-4E14-A8E7-3E19F71C7190}">
  <ds:schemaRefs>
    <ds:schemaRef ds:uri="http://schemas.microsoft.com/sharepoint/v3/contenttype/forms"/>
  </ds:schemaRefs>
</ds:datastoreItem>
</file>

<file path=customXml/itemProps3.xml><?xml version="1.0" encoding="utf-8"?>
<ds:datastoreItem xmlns:ds="http://schemas.openxmlformats.org/officeDocument/2006/customXml" ds:itemID="{22BDE862-6112-4BA0-9499-97C49B22D522}">
  <ds:schemaRefs>
    <ds:schemaRef ds:uri="http://schemas.microsoft.com/office/2006/metadata/longProperties"/>
  </ds:schemaRefs>
</ds:datastoreItem>
</file>

<file path=customXml/itemProps4.xml><?xml version="1.0" encoding="utf-8"?>
<ds:datastoreItem xmlns:ds="http://schemas.openxmlformats.org/officeDocument/2006/customXml" ds:itemID="{D2FC1D8D-7AF7-4E66-8682-C14F1267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9413</Words>
  <Characters>55537</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64821</CharactersWithSpaces>
  <SharedDoc>false</SharedDoc>
  <HLinks>
    <vt:vector size="6" baseType="variant">
      <vt:variant>
        <vt:i4>458816</vt:i4>
      </vt:variant>
      <vt:variant>
        <vt:i4>0</vt:i4>
      </vt:variant>
      <vt:variant>
        <vt:i4>0</vt:i4>
      </vt:variant>
      <vt:variant>
        <vt:i4>5</vt:i4>
      </vt:variant>
      <vt:variant>
        <vt:lpwstr>http://www.jihovychod.cz/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zitkova</dc:creator>
  <cp:lastModifiedBy>Jakoubková Marie</cp:lastModifiedBy>
  <cp:revision>4</cp:revision>
  <cp:lastPrinted>2014-04-24T12:14:00Z</cp:lastPrinted>
  <dcterms:created xsi:type="dcterms:W3CDTF">2014-04-24T05:56:00Z</dcterms:created>
  <dcterms:modified xsi:type="dcterms:W3CDTF">2014-04-24T12:14:00Z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0x010100CF85D33D74F3C54995956F68FF8DE944</vt:lpwstr>
  </property>
</Properties>
</file>