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63" w:rsidRDefault="00F41CD1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</w:t>
      </w:r>
      <w:r w:rsidR="00985263">
        <w:rPr>
          <w:rFonts w:ascii="Arial" w:hAnsi="Arial" w:cs="Arial"/>
          <w:bCs w:val="0"/>
          <w:sz w:val="22"/>
        </w:rPr>
        <w:t>K-</w:t>
      </w:r>
      <w:r w:rsidR="00473C20">
        <w:rPr>
          <w:rFonts w:ascii="Arial" w:hAnsi="Arial" w:cs="Arial"/>
          <w:bCs w:val="0"/>
          <w:sz w:val="22"/>
        </w:rPr>
        <w:t>1</w:t>
      </w:r>
      <w:r>
        <w:rPr>
          <w:rFonts w:ascii="Arial" w:hAnsi="Arial" w:cs="Arial"/>
          <w:bCs w:val="0"/>
          <w:sz w:val="22"/>
        </w:rPr>
        <w:t>0</w:t>
      </w:r>
      <w:r w:rsidR="00985263">
        <w:rPr>
          <w:rFonts w:ascii="Arial" w:hAnsi="Arial" w:cs="Arial"/>
          <w:bCs w:val="0"/>
          <w:sz w:val="22"/>
        </w:rPr>
        <w:t>-201</w:t>
      </w:r>
      <w:r w:rsidR="002F5207">
        <w:rPr>
          <w:rFonts w:ascii="Arial" w:hAnsi="Arial" w:cs="Arial"/>
          <w:bCs w:val="0"/>
          <w:sz w:val="22"/>
        </w:rPr>
        <w:t>4</w:t>
      </w:r>
      <w:r w:rsidR="00964591">
        <w:rPr>
          <w:rFonts w:ascii="Arial" w:hAnsi="Arial" w:cs="Arial"/>
          <w:bCs w:val="0"/>
          <w:sz w:val="22"/>
        </w:rPr>
        <w:t>-50</w:t>
      </w:r>
    </w:p>
    <w:p w:rsidR="00985263" w:rsidRDefault="00985263">
      <w:pPr>
        <w:rPr>
          <w:rFonts w:ascii="Arial" w:hAnsi="Arial" w:cs="Arial"/>
          <w:b/>
          <w:bCs/>
          <w:sz w:val="22"/>
        </w:rPr>
      </w:pPr>
    </w:p>
    <w:p w:rsidR="00985263" w:rsidRDefault="00985263">
      <w:pPr>
        <w:rPr>
          <w:rFonts w:ascii="Arial" w:hAnsi="Arial" w:cs="Arial"/>
          <w:b/>
          <w:bCs/>
          <w:sz w:val="22"/>
        </w:rPr>
      </w:pPr>
    </w:p>
    <w:p w:rsidR="00985263" w:rsidRDefault="00985263">
      <w:pPr>
        <w:pStyle w:val="Zkladntext2"/>
      </w:pPr>
      <w:r>
        <w:t>Návrh na rozdělení části disponibilního zůstatku kraje z roku 201</w:t>
      </w:r>
      <w:r w:rsidR="002F5207">
        <w:t>3</w:t>
      </w:r>
      <w:r w:rsidR="00F41CD1">
        <w:t xml:space="preserve"> – II. část</w:t>
      </w:r>
    </w:p>
    <w:p w:rsidR="00985263" w:rsidRDefault="0030468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7DFFFD41" wp14:editId="60A3AB89">
                <wp:simplePos x="0" y="0"/>
                <wp:positionH relativeFrom="column">
                  <wp:posOffset>4457700</wp:posOffset>
                </wp:positionH>
                <wp:positionV relativeFrom="paragraph">
                  <wp:posOffset>318135</wp:posOffset>
                </wp:positionV>
                <wp:extent cx="1276350" cy="57721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E08" w:rsidRDefault="00524E0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Pr="00531507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524E08" w:rsidRDefault="00524E0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CD775F"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25.05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" strokecolor="white">
                <v:textbox inset="0,0,0,0">
                  <w:txbxContent>
                    <w:p w:rsidR="00524E08" w:rsidRDefault="00524E0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Pr="00531507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524E08" w:rsidRDefault="00524E0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CD775F">
                        <w:rPr>
                          <w:rFonts w:ascii="Arial" w:hAnsi="Arial" w:cs="Arial"/>
                          <w:sz w:val="22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5263" w:rsidRDefault="009852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</w:t>
      </w:r>
      <w:r w:rsidR="00E94592">
        <w:rPr>
          <w:rFonts w:ascii="Arial" w:hAnsi="Arial" w:cs="Arial"/>
          <w:sz w:val="22"/>
        </w:rPr>
        <w:t>rady</w:t>
      </w:r>
      <w:r w:rsidR="00524E0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kraje č. </w:t>
      </w:r>
      <w:r w:rsidR="00524E08">
        <w:rPr>
          <w:rFonts w:ascii="Arial" w:hAnsi="Arial" w:cs="Arial"/>
          <w:sz w:val="22"/>
        </w:rPr>
        <w:t>1</w:t>
      </w:r>
      <w:r w:rsidR="00E94592">
        <w:rPr>
          <w:rFonts w:ascii="Arial" w:hAnsi="Arial" w:cs="Arial"/>
          <w:sz w:val="22"/>
        </w:rPr>
        <w:t>0</w:t>
      </w:r>
      <w:r w:rsidRPr="00C74347">
        <w:rPr>
          <w:rFonts w:ascii="Arial" w:hAnsi="Arial" w:cs="Arial"/>
          <w:sz w:val="22"/>
        </w:rPr>
        <w:t>/201</w:t>
      </w:r>
      <w:r w:rsidR="002F5207">
        <w:rPr>
          <w:rFonts w:ascii="Arial" w:hAnsi="Arial" w:cs="Arial"/>
          <w:sz w:val="22"/>
        </w:rPr>
        <w:t>4</w:t>
      </w:r>
      <w:r w:rsidRPr="00C74347">
        <w:rPr>
          <w:rFonts w:ascii="Arial" w:hAnsi="Arial" w:cs="Arial"/>
          <w:sz w:val="22"/>
        </w:rPr>
        <w:t xml:space="preserve"> dne </w:t>
      </w:r>
      <w:r w:rsidR="005912CF">
        <w:rPr>
          <w:rFonts w:ascii="Arial" w:hAnsi="Arial" w:cs="Arial"/>
          <w:sz w:val="22"/>
        </w:rPr>
        <w:t>18</w:t>
      </w:r>
      <w:r w:rsidRPr="00C74347">
        <w:rPr>
          <w:rFonts w:ascii="Arial" w:hAnsi="Arial" w:cs="Arial"/>
          <w:sz w:val="22"/>
        </w:rPr>
        <w:t xml:space="preserve">. </w:t>
      </w:r>
      <w:r w:rsidR="005912CF">
        <w:rPr>
          <w:rFonts w:ascii="Arial" w:hAnsi="Arial" w:cs="Arial"/>
          <w:sz w:val="22"/>
        </w:rPr>
        <w:t>3</w:t>
      </w:r>
      <w:r w:rsidRPr="00C74347">
        <w:rPr>
          <w:rFonts w:ascii="Arial" w:hAnsi="Arial" w:cs="Arial"/>
          <w:sz w:val="22"/>
        </w:rPr>
        <w:t>. 201</w:t>
      </w:r>
      <w:r w:rsidR="002F5207">
        <w:rPr>
          <w:rFonts w:ascii="Arial" w:hAnsi="Arial" w:cs="Arial"/>
          <w:sz w:val="22"/>
        </w:rPr>
        <w:t>4</w:t>
      </w:r>
    </w:p>
    <w:p w:rsidR="00985263" w:rsidRDefault="00985263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</w:t>
      </w:r>
      <w:r w:rsidR="00EA4267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a</w:t>
      </w:r>
      <w:r w:rsidR="00EA4267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</w:t>
      </w:r>
      <w:proofErr w:type="gramEnd"/>
      <w:r>
        <w:rPr>
          <w:rFonts w:ascii="Arial" w:hAnsi="Arial" w:cs="Arial"/>
          <w:sz w:val="22"/>
        </w:rPr>
        <w:t xml:space="preserve"> J. Kopecká</w:t>
      </w:r>
      <w:r w:rsidR="00EA4267">
        <w:rPr>
          <w:rFonts w:ascii="Arial" w:hAnsi="Arial" w:cs="Arial"/>
          <w:sz w:val="22"/>
        </w:rPr>
        <w:t xml:space="preserve"> </w:t>
      </w:r>
    </w:p>
    <w:p w:rsidR="00985263" w:rsidRDefault="009852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F41CD1">
        <w:rPr>
          <w:rFonts w:ascii="Arial" w:hAnsi="Arial" w:cs="Arial"/>
          <w:sz w:val="22"/>
        </w:rPr>
        <w:t>A. Krištofová</w:t>
      </w:r>
    </w:p>
    <w:p w:rsidR="00985263" w:rsidRDefault="0098526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985263" w:rsidRDefault="00985263">
      <w:pPr>
        <w:rPr>
          <w:rFonts w:ascii="Arial" w:hAnsi="Arial" w:cs="Arial"/>
          <w:sz w:val="22"/>
        </w:rPr>
      </w:pPr>
    </w:p>
    <w:p w:rsidR="00985263" w:rsidRDefault="0098526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985263" w:rsidRDefault="00985263">
      <w:pPr>
        <w:rPr>
          <w:rFonts w:ascii="Arial" w:hAnsi="Arial" w:cs="Arial"/>
          <w:b/>
          <w:sz w:val="22"/>
        </w:rPr>
      </w:pPr>
    </w:p>
    <w:p w:rsidR="00985263" w:rsidRDefault="00985263">
      <w:pPr>
        <w:pStyle w:val="Zkladntext3"/>
      </w:pPr>
      <w:r>
        <w:t xml:space="preserve">Po skončení kalendářního roku se údaje o ročním hospodaření územního samosprávného celku zpracovávají do závěrečného účtu. Závěrečný účet </w:t>
      </w:r>
      <w:r w:rsidR="0015643B">
        <w:t>K</w:t>
      </w:r>
      <w:r>
        <w:t>raje Vysočina za rok 201</w:t>
      </w:r>
      <w:r w:rsidR="002F5207">
        <w:t>3</w:t>
      </w:r>
      <w:r>
        <w:t xml:space="preserve"> včetně návrhu na celkové rozdělení disponibilního zůstatku kraje musí být projednán na zasedání zastupitelstva kraje nejpozději v červnu 201</w:t>
      </w:r>
      <w:r w:rsidR="002F5207">
        <w:t>4</w:t>
      </w:r>
      <w:r>
        <w:t xml:space="preserve">. V současné době </w:t>
      </w:r>
      <w:r w:rsidR="00854C8A">
        <w:t xml:space="preserve">byly ukončeny </w:t>
      </w:r>
      <w:r>
        <w:t>práce na účetní závěrce roku 201</w:t>
      </w:r>
      <w:r w:rsidR="002F5207">
        <w:t>3</w:t>
      </w:r>
      <w:r>
        <w:t>, prov</w:t>
      </w:r>
      <w:r w:rsidR="00854C8A">
        <w:t>edeny</w:t>
      </w:r>
      <w:r>
        <w:t xml:space="preserve"> závěrečné operace spojené s inventarizacemi a</w:t>
      </w:r>
      <w:r w:rsidR="00964591">
        <w:t> </w:t>
      </w:r>
      <w:r>
        <w:t>s ukončením rozpočtového roku a také práce spojené s finančním vypořádáním dotací se státním rozpočtem. Podle výsledků činí disponibilní zůstatek základního běžného účtu kraje za rok 201</w:t>
      </w:r>
      <w:r w:rsidR="002F5207">
        <w:t>3</w:t>
      </w:r>
      <w:r>
        <w:t xml:space="preserve"> více než </w:t>
      </w:r>
      <w:r w:rsidR="00F11008" w:rsidRPr="008041FD">
        <w:t>5</w:t>
      </w:r>
      <w:r w:rsidR="00854C8A">
        <w:t>7</w:t>
      </w:r>
      <w:r w:rsidRPr="008041FD">
        <w:t>0</w:t>
      </w:r>
      <w:r w:rsidR="001B3736">
        <w:t> 000 000</w:t>
      </w:r>
      <w:r>
        <w:t xml:space="preserve"> Kč. Z</w:t>
      </w:r>
      <w:r w:rsidR="00964591">
        <w:t xml:space="preserve"> </w:t>
      </w:r>
      <w:r>
        <w:t xml:space="preserve">této částky </w:t>
      </w:r>
      <w:r w:rsidR="00854C8A">
        <w:t xml:space="preserve">již bylo zastupitelstvem kraje schváleno zapojení do rozpočtu kraje na rok 2014 </w:t>
      </w:r>
      <w:r w:rsidR="00895AF4">
        <w:t xml:space="preserve">ve výši 388 266 660 Kč </w:t>
      </w:r>
      <w:r w:rsidR="00854C8A">
        <w:t xml:space="preserve">(závazky a jiné požadavky dle usnesení č. 0010/01/2014/ZK) a dále </w:t>
      </w:r>
      <w:r w:rsidR="00895AF4">
        <w:t xml:space="preserve">byla schválena </w:t>
      </w:r>
      <w:r>
        <w:t>alokace Fondu Vysočin</w:t>
      </w:r>
      <w:r w:rsidR="00895AF4">
        <w:t>y</w:t>
      </w:r>
      <w:r>
        <w:t xml:space="preserve"> pro rok 201</w:t>
      </w:r>
      <w:r w:rsidR="002F5207">
        <w:t>4</w:t>
      </w:r>
      <w:r>
        <w:t xml:space="preserve"> ve výši </w:t>
      </w:r>
      <w:r w:rsidR="00723E5A" w:rsidRPr="00723E5A">
        <w:t>4</w:t>
      </w:r>
      <w:r w:rsidR="00513082">
        <w:t>4</w:t>
      </w:r>
      <w:r w:rsidR="00854C8A">
        <w:t> </w:t>
      </w:r>
      <w:r w:rsidR="00513082">
        <w:t>1</w:t>
      </w:r>
      <w:r w:rsidR="00854C8A">
        <w:t>00 000</w:t>
      </w:r>
      <w:r>
        <w:t xml:space="preserve"> Kč</w:t>
      </w:r>
      <w:r w:rsidR="001B3736">
        <w:t xml:space="preserve"> (usnesení č. 0064/01/2014</w:t>
      </w:r>
      <w:r w:rsidR="00A31849">
        <w:t>/</w:t>
      </w:r>
      <w:r w:rsidR="001B3736">
        <w:t xml:space="preserve">ZK). </w:t>
      </w:r>
    </w:p>
    <w:p w:rsidR="00226150" w:rsidRDefault="00985263" w:rsidP="00226150">
      <w:pPr>
        <w:pStyle w:val="Zkladntext3"/>
      </w:pPr>
      <w:r>
        <w:t>V současné době se na ekonomický odbor obrátili někteří správci rozpočtových prostředků s</w:t>
      </w:r>
      <w:r w:rsidR="001B3736">
        <w:t xml:space="preserve"> dalšími </w:t>
      </w:r>
      <w:r>
        <w:t>požadavky na posílení svých kapitol v rozpočtu na rok 201</w:t>
      </w:r>
      <w:r w:rsidR="002F5207">
        <w:t>4</w:t>
      </w:r>
      <w:r>
        <w:t>, a to zapojením disponibilních prostředků z roku 201</w:t>
      </w:r>
      <w:r w:rsidR="002F5207">
        <w:t>3</w:t>
      </w:r>
      <w:r>
        <w:t xml:space="preserve">. Tyto požadavky představují </w:t>
      </w:r>
      <w:r w:rsidR="001B3736">
        <w:t>žádosti o dotace, dary případně navýšení kapitol rozpočtu kraje na aktivity, které jsou v rozpočtu zajištěny v nedostatečné výši</w:t>
      </w:r>
      <w:r w:rsidR="00E173A5">
        <w:t xml:space="preserve">. Na kraj </w:t>
      </w:r>
      <w:r w:rsidR="00895AF4">
        <w:t xml:space="preserve">zaslal </w:t>
      </w:r>
      <w:r w:rsidR="00E173A5">
        <w:t>požadav</w:t>
      </w:r>
      <w:r w:rsidR="00895AF4">
        <w:t>e</w:t>
      </w:r>
      <w:r w:rsidR="00E173A5">
        <w:t>k na poskytnutí daru FC Vysočina, a.s., Jihlava</w:t>
      </w:r>
      <w:r w:rsidR="00197B1E">
        <w:t xml:space="preserve"> </w:t>
      </w:r>
      <w:r w:rsidR="00CD775F">
        <w:t>(žádost je přílohou č. 5 tohoto materiálu)</w:t>
      </w:r>
      <w:r w:rsidR="00E173A5">
        <w:t>, Krajské ředitelství policie kraje Vysočina</w:t>
      </w:r>
      <w:r w:rsidR="00197B1E">
        <w:t xml:space="preserve"> </w:t>
      </w:r>
      <w:r w:rsidR="00895AF4">
        <w:t xml:space="preserve">žádá dar </w:t>
      </w:r>
      <w:r w:rsidR="00CD775F">
        <w:t>(žádost je přílohou č. 6 tohoto materiálu)</w:t>
      </w:r>
      <w:r w:rsidR="00E173A5">
        <w:t>, o</w:t>
      </w:r>
      <w:r w:rsidR="00CD775F">
        <w:t> </w:t>
      </w:r>
      <w:r w:rsidR="00E173A5">
        <w:t xml:space="preserve">dotaci </w:t>
      </w:r>
      <w:r w:rsidR="00197B1E">
        <w:t xml:space="preserve">ve výši 500 000 Kč </w:t>
      </w:r>
      <w:r w:rsidR="00E173A5">
        <w:t xml:space="preserve">požádala Diecézní charita Brno, </w:t>
      </w:r>
      <w:r w:rsidR="00895AF4">
        <w:t xml:space="preserve">pro </w:t>
      </w:r>
      <w:r w:rsidR="00E173A5">
        <w:t>oblastní charit</w:t>
      </w:r>
      <w:r w:rsidR="00895AF4">
        <w:t>u</w:t>
      </w:r>
      <w:r w:rsidR="00E173A5">
        <w:t xml:space="preserve"> </w:t>
      </w:r>
      <w:r w:rsidR="005136CB">
        <w:t>Třebíč na prováděcí dokumentaci na novou stavbu na provozování sociálních služeb Domov pro matky s dětmi a Středisko rané péče</w:t>
      </w:r>
      <w:r w:rsidR="00CD775F">
        <w:t xml:space="preserve"> (žádost je přílohou č. 7 tohoto materiálu)</w:t>
      </w:r>
      <w:r w:rsidR="005136CB">
        <w:t xml:space="preserve">. </w:t>
      </w:r>
      <w:r w:rsidR="00C6444D">
        <w:t>Na základě zasedání Stálé konference dne 6. 3. 2014</w:t>
      </w:r>
      <w:r w:rsidR="00895AF4">
        <w:t xml:space="preserve"> a</w:t>
      </w:r>
      <w:r w:rsidR="00964591">
        <w:t> </w:t>
      </w:r>
      <w:r w:rsidR="00C6444D">
        <w:t>hodno</w:t>
      </w:r>
      <w:r w:rsidR="00895AF4">
        <w:t>cení</w:t>
      </w:r>
      <w:r w:rsidR="00C6444D">
        <w:t xml:space="preserve"> projekt</w:t>
      </w:r>
      <w:r w:rsidR="00895AF4">
        <w:t>ů</w:t>
      </w:r>
      <w:r w:rsidR="00C6444D">
        <w:t>, které budou podpořeny v rámci spolupráce Vysočina – Zakarpatská oblast Ukrajiny v roce 2014, vzešel požadavek na navýšení finančních prostředků na spolupráci se Zakarpatskou oblastí Ukrajiny o 1 000 000 Kč</w:t>
      </w:r>
      <w:r w:rsidR="00197B1E">
        <w:t xml:space="preserve">. Dále budou z disponibilního zůstatku z roku 2014 posíleny kapitola Zdravotnictví o částku 43 459 165,47 Kč na úhradu závazků nemocnic vyplývajících z obchodních vztahů vůči dodavatelům, kapitola Sociální věci o částku 3 000 000 Kč na vybavení </w:t>
      </w:r>
      <w:r w:rsidR="00226150">
        <w:t xml:space="preserve">Domova důchodců Ždírec hmotným majetkem (třetí etapa rekonstrukce), kapitola Kultura o částku 100 000 Kč </w:t>
      </w:r>
      <w:r w:rsidR="00E94592">
        <w:t xml:space="preserve">na navýšení finančních prostředků </w:t>
      </w:r>
      <w:r w:rsidR="00226150">
        <w:t xml:space="preserve">na vybudování památníku k 20. výročí svatořečení sv. Zdislavy v Křižanově. </w:t>
      </w:r>
      <w:r w:rsidR="00895AF4">
        <w:t xml:space="preserve">V rámci rozdělení disponibilního zůstatku kraje z roku 2013 </w:t>
      </w:r>
      <w:r w:rsidR="00226150">
        <w:t>budou do rozpočtu kraje na rok 2014 zapojeny</w:t>
      </w:r>
      <w:r w:rsidR="00685C0F">
        <w:t xml:space="preserve"> vratky transferů do státního rozpočtu v rámci finančního vypořádání se státním rozpočtem za rok 2013.</w:t>
      </w:r>
      <w:r w:rsidR="00895AF4">
        <w:t xml:space="preserve"> Nerozdělenou část disponibilních prostředků z roku 2013 ve výši 92 726 421,40 Kč ekonomický</w:t>
      </w:r>
      <w:r w:rsidR="00200A24">
        <w:t xml:space="preserve"> odbor navrhuje převést do Fondu strategických rezerv Kraje Vysočina.</w:t>
      </w:r>
    </w:p>
    <w:p w:rsidR="00985263" w:rsidRDefault="00985263">
      <w:pPr>
        <w:rPr>
          <w:rFonts w:ascii="Arial" w:hAnsi="Arial" w:cs="Arial"/>
          <w:sz w:val="22"/>
        </w:rPr>
      </w:pPr>
    </w:p>
    <w:p w:rsidR="00985263" w:rsidRDefault="00985263">
      <w:pPr>
        <w:rPr>
          <w:rFonts w:ascii="Arial" w:hAnsi="Arial" w:cs="Arial"/>
          <w:sz w:val="22"/>
        </w:rPr>
      </w:pPr>
    </w:p>
    <w:p w:rsidR="00985263" w:rsidRDefault="0098526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985263" w:rsidRDefault="00985263">
      <w:pPr>
        <w:rPr>
          <w:rFonts w:ascii="Arial" w:hAnsi="Arial" w:cs="Arial"/>
          <w:b/>
          <w:bCs/>
          <w:sz w:val="22"/>
        </w:rPr>
      </w:pPr>
    </w:p>
    <w:p w:rsidR="0076359D" w:rsidRDefault="00985263" w:rsidP="00881BBA">
      <w:pPr>
        <w:pStyle w:val="Zkladntext3"/>
      </w:pPr>
      <w:r>
        <w:t xml:space="preserve">Ekonomický odbor podává návrh na rozdělení </w:t>
      </w:r>
      <w:r w:rsidR="00CD5472">
        <w:t>zbývající</w:t>
      </w:r>
      <w:r w:rsidR="00685C0F">
        <w:t xml:space="preserve"> části</w:t>
      </w:r>
      <w:r>
        <w:t xml:space="preserve"> disponibilního zůstatku základního běžného účtu z roku 201</w:t>
      </w:r>
      <w:r w:rsidR="00B514B3">
        <w:t>3</w:t>
      </w:r>
      <w:r>
        <w:t xml:space="preserve"> a jeho zapojení do rozpočtu roku 201</w:t>
      </w:r>
      <w:r w:rsidR="00B514B3">
        <w:t>4</w:t>
      </w:r>
      <w:r>
        <w:t xml:space="preserve"> dle materiálu </w:t>
      </w:r>
      <w:r w:rsidR="00685C0F">
        <w:t>R</w:t>
      </w:r>
      <w:r>
        <w:t>K-</w:t>
      </w:r>
      <w:r w:rsidR="00524E08">
        <w:t>1</w:t>
      </w:r>
      <w:r w:rsidR="00685C0F">
        <w:t>0</w:t>
      </w:r>
      <w:r>
        <w:t>-201</w:t>
      </w:r>
      <w:r w:rsidR="00B514B3">
        <w:t>4</w:t>
      </w:r>
      <w:r w:rsidR="00964591">
        <w:t>-50</w:t>
      </w:r>
      <w:r>
        <w:t>, př. 1</w:t>
      </w:r>
      <w:r w:rsidR="00D122A2" w:rsidRPr="003F6D9D">
        <w:t>.</w:t>
      </w:r>
      <w:r w:rsidR="00D122A2">
        <w:t xml:space="preserve"> </w:t>
      </w:r>
    </w:p>
    <w:p w:rsidR="00881BBA" w:rsidRPr="0072692C" w:rsidRDefault="00D122A2" w:rsidP="00881BBA">
      <w:pPr>
        <w:pStyle w:val="Zkladntext3"/>
        <w:rPr>
          <w:highlight w:val="yellow"/>
        </w:rPr>
      </w:pPr>
      <w:r>
        <w:t>Dále ekonomický odbor navrhuje</w:t>
      </w:r>
      <w:r w:rsidR="00985263">
        <w:t xml:space="preserve"> </w:t>
      </w:r>
      <w:r w:rsidR="008448CC">
        <w:t>rozhodnout poskytnout dar Krajskému ředitelství policie kraje Vysočina</w:t>
      </w:r>
      <w:r w:rsidR="0072692C">
        <w:t xml:space="preserve"> ve výši 2 500 000 Kč dle materiálu RK-10-2014</w:t>
      </w:r>
      <w:r w:rsidR="00964591">
        <w:t>-50</w:t>
      </w:r>
      <w:r w:rsidR="0072692C">
        <w:t xml:space="preserve">, př. 2, </w:t>
      </w:r>
      <w:r w:rsidR="007E472B">
        <w:t xml:space="preserve">dar FC Vysočina, </w:t>
      </w:r>
      <w:r w:rsidR="007E472B">
        <w:lastRenderedPageBreak/>
        <w:t>a.s., ve výši 2 000 000 Kč dle materiálu RK-10-2014</w:t>
      </w:r>
      <w:r w:rsidR="00964591">
        <w:t>-50</w:t>
      </w:r>
      <w:r w:rsidR="007E472B">
        <w:t>, př. 3 a dotaci Diecézní charitě Brno ve výši 500 000 Kč dle materiálu RK-10-2014</w:t>
      </w:r>
      <w:r w:rsidR="00964591">
        <w:t>-50</w:t>
      </w:r>
      <w:r w:rsidR="007E472B">
        <w:t>, př. 4.</w:t>
      </w:r>
      <w:r w:rsidR="00964591">
        <w:t xml:space="preserve"> </w:t>
      </w:r>
    </w:p>
    <w:p w:rsidR="00CA7C5B" w:rsidRDefault="00CA7C5B">
      <w:pPr>
        <w:rPr>
          <w:rFonts w:ascii="Arial" w:hAnsi="Arial" w:cs="Arial"/>
          <w:sz w:val="22"/>
        </w:rPr>
      </w:pPr>
    </w:p>
    <w:p w:rsidR="00964591" w:rsidRDefault="00964591">
      <w:pPr>
        <w:rPr>
          <w:rFonts w:ascii="Arial" w:hAnsi="Arial" w:cs="Arial"/>
          <w:sz w:val="22"/>
        </w:rPr>
      </w:pPr>
    </w:p>
    <w:p w:rsidR="008D136D" w:rsidRDefault="00985263" w:rsidP="007E472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8D136D" w:rsidRDefault="008D136D" w:rsidP="008D136D">
      <w:pPr>
        <w:jc w:val="both"/>
        <w:rPr>
          <w:rFonts w:ascii="Arial" w:hAnsi="Arial" w:cs="Arial"/>
          <w:b/>
          <w:bCs/>
          <w:sz w:val="22"/>
        </w:rPr>
      </w:pPr>
    </w:p>
    <w:p w:rsidR="00F42A8E" w:rsidRDefault="00A87EE0" w:rsidP="00CD5472">
      <w:pPr>
        <w:jc w:val="both"/>
        <w:rPr>
          <w:rFonts w:ascii="Arial" w:hAnsi="Arial" w:cs="Arial"/>
          <w:sz w:val="22"/>
          <w:szCs w:val="22"/>
        </w:rPr>
      </w:pPr>
      <w:r w:rsidRPr="00610439">
        <w:rPr>
          <w:rFonts w:ascii="Arial" w:hAnsi="Arial" w:cs="Arial"/>
          <w:bCs/>
          <w:sz w:val="22"/>
        </w:rPr>
        <w:t xml:space="preserve">Odbor </w:t>
      </w:r>
      <w:r w:rsidR="008448CC" w:rsidRPr="00610439">
        <w:rPr>
          <w:rFonts w:ascii="Arial" w:hAnsi="Arial" w:cs="Arial"/>
          <w:bCs/>
          <w:sz w:val="22"/>
        </w:rPr>
        <w:t>informatiky</w:t>
      </w:r>
      <w:r w:rsidR="00893377" w:rsidRPr="00610439">
        <w:rPr>
          <w:rFonts w:ascii="Arial" w:hAnsi="Arial" w:cs="Arial"/>
          <w:bCs/>
          <w:sz w:val="22"/>
        </w:rPr>
        <w:t>:</w:t>
      </w:r>
      <w:r w:rsidR="00893377">
        <w:rPr>
          <w:rFonts w:ascii="Arial" w:hAnsi="Arial" w:cs="Arial"/>
          <w:bCs/>
          <w:sz w:val="22"/>
        </w:rPr>
        <w:t xml:space="preserve"> </w:t>
      </w:r>
      <w:r w:rsidR="00F42A8E">
        <w:rPr>
          <w:rFonts w:ascii="Arial" w:hAnsi="Arial" w:cs="Arial"/>
          <w:bCs/>
          <w:sz w:val="22"/>
        </w:rPr>
        <w:t xml:space="preserve">Dar pro FC Vysočina, a.s. byl zaevidován v systému </w:t>
      </w:r>
      <w:proofErr w:type="spellStart"/>
      <w:r w:rsidR="00F42A8E">
        <w:rPr>
          <w:rFonts w:ascii="Arial" w:hAnsi="Arial" w:cs="Arial"/>
          <w:bCs/>
          <w:sz w:val="22"/>
        </w:rPr>
        <w:t>eDotace</w:t>
      </w:r>
      <w:proofErr w:type="spellEnd"/>
      <w:r w:rsidR="00F42A8E">
        <w:rPr>
          <w:rFonts w:ascii="Arial" w:hAnsi="Arial" w:cs="Arial"/>
          <w:bCs/>
          <w:sz w:val="22"/>
        </w:rPr>
        <w:t xml:space="preserve"> – ID</w:t>
      </w:r>
      <w:r w:rsidR="00531507">
        <w:rPr>
          <w:rFonts w:ascii="Arial" w:hAnsi="Arial" w:cs="Arial"/>
          <w:bCs/>
          <w:sz w:val="22"/>
        </w:rPr>
        <w:t> </w:t>
      </w:r>
      <w:r w:rsidR="00F42A8E">
        <w:rPr>
          <w:rFonts w:ascii="Arial" w:hAnsi="Arial" w:cs="Arial"/>
          <w:bCs/>
          <w:sz w:val="22"/>
        </w:rPr>
        <w:t>O00943;</w:t>
      </w:r>
      <w:r w:rsidR="00893377">
        <w:rPr>
          <w:rFonts w:ascii="Arial" w:hAnsi="Arial" w:cs="Arial"/>
          <w:bCs/>
          <w:sz w:val="22"/>
        </w:rPr>
        <w:t xml:space="preserve"> </w:t>
      </w:r>
      <w:r w:rsidR="00F42A8E">
        <w:rPr>
          <w:rFonts w:ascii="Arial" w:hAnsi="Arial" w:cs="Arial"/>
          <w:bCs/>
          <w:sz w:val="22"/>
        </w:rPr>
        <w:t xml:space="preserve">Dar pro Krajské ředitelství policie kraje Vysočina byl zaevidován v systému </w:t>
      </w:r>
      <w:proofErr w:type="spellStart"/>
      <w:r w:rsidR="00F42A8E">
        <w:rPr>
          <w:rFonts w:ascii="Arial" w:hAnsi="Arial" w:cs="Arial"/>
          <w:bCs/>
          <w:sz w:val="22"/>
        </w:rPr>
        <w:t>eDotace</w:t>
      </w:r>
      <w:proofErr w:type="spellEnd"/>
      <w:r w:rsidR="00F42A8E">
        <w:rPr>
          <w:rFonts w:ascii="Arial" w:hAnsi="Arial" w:cs="Arial"/>
          <w:bCs/>
          <w:sz w:val="22"/>
        </w:rPr>
        <w:t xml:space="preserve"> – ID</w:t>
      </w:r>
      <w:r w:rsidR="00912C66">
        <w:rPr>
          <w:rFonts w:ascii="Arial" w:hAnsi="Arial" w:cs="Arial"/>
          <w:bCs/>
          <w:sz w:val="22"/>
        </w:rPr>
        <w:t>O00948</w:t>
      </w:r>
      <w:r w:rsidR="00F42A8E">
        <w:rPr>
          <w:rFonts w:ascii="Arial" w:hAnsi="Arial" w:cs="Arial"/>
          <w:bCs/>
          <w:sz w:val="22"/>
        </w:rPr>
        <w:t>;</w:t>
      </w:r>
      <w:r w:rsidR="00893377">
        <w:rPr>
          <w:rFonts w:ascii="Arial" w:hAnsi="Arial" w:cs="Arial"/>
          <w:bCs/>
          <w:sz w:val="22"/>
        </w:rPr>
        <w:t xml:space="preserve"> </w:t>
      </w:r>
      <w:r w:rsidR="00F42A8E">
        <w:rPr>
          <w:rFonts w:ascii="Arial" w:hAnsi="Arial" w:cs="Arial"/>
          <w:bCs/>
          <w:sz w:val="22"/>
        </w:rPr>
        <w:t xml:space="preserve">Dotace pro Diecézní charitu Brno byla zaevidována v systému </w:t>
      </w:r>
      <w:proofErr w:type="spellStart"/>
      <w:r w:rsidR="00F42A8E">
        <w:rPr>
          <w:rFonts w:ascii="Arial" w:hAnsi="Arial" w:cs="Arial"/>
          <w:bCs/>
          <w:sz w:val="22"/>
        </w:rPr>
        <w:t>eDotace</w:t>
      </w:r>
      <w:proofErr w:type="spellEnd"/>
      <w:r w:rsidR="00F42A8E">
        <w:rPr>
          <w:rFonts w:ascii="Arial" w:hAnsi="Arial" w:cs="Arial"/>
          <w:bCs/>
          <w:sz w:val="22"/>
        </w:rPr>
        <w:t xml:space="preserve"> – ID </w:t>
      </w:r>
      <w:r w:rsidR="00531507">
        <w:rPr>
          <w:rFonts w:ascii="Arial" w:hAnsi="Arial" w:cs="Arial"/>
          <w:bCs/>
          <w:sz w:val="22"/>
        </w:rPr>
        <w:t>O00950.</w:t>
      </w:r>
    </w:p>
    <w:p w:rsidR="00F42A8E" w:rsidRDefault="00F42A8E" w:rsidP="00CD5472">
      <w:pPr>
        <w:jc w:val="both"/>
        <w:rPr>
          <w:rFonts w:ascii="Arial" w:hAnsi="Arial" w:cs="Arial"/>
          <w:sz w:val="22"/>
          <w:szCs w:val="22"/>
        </w:rPr>
      </w:pPr>
    </w:p>
    <w:p w:rsidR="00CD775F" w:rsidRDefault="00811769" w:rsidP="00CD54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sociálních věcí:</w:t>
      </w:r>
    </w:p>
    <w:p w:rsidR="00945DA5" w:rsidRPr="00945DA5" w:rsidRDefault="00945DA5" w:rsidP="00CD5472">
      <w:pPr>
        <w:jc w:val="both"/>
        <w:rPr>
          <w:rFonts w:ascii="Arial" w:hAnsi="Arial" w:cs="Arial"/>
          <w:sz w:val="22"/>
          <w:szCs w:val="22"/>
        </w:rPr>
      </w:pPr>
      <w:r w:rsidRPr="00945DA5">
        <w:rPr>
          <w:rFonts w:ascii="Arial" w:hAnsi="Arial" w:cs="Arial"/>
          <w:sz w:val="22"/>
          <w:szCs w:val="22"/>
        </w:rPr>
        <w:t>Navrhujeme poskytnout Diecézní charitě Brno dotaci na financování zhotovení prováděcí dokumentace pro novostavbu Domova pro matky s</w:t>
      </w:r>
      <w:r>
        <w:rPr>
          <w:rFonts w:ascii="Arial" w:hAnsi="Arial" w:cs="Arial"/>
          <w:sz w:val="22"/>
          <w:szCs w:val="22"/>
        </w:rPr>
        <w:t> </w:t>
      </w:r>
      <w:r w:rsidRPr="00945DA5">
        <w:rPr>
          <w:rFonts w:ascii="Arial" w:hAnsi="Arial" w:cs="Arial"/>
          <w:sz w:val="22"/>
          <w:szCs w:val="22"/>
        </w:rPr>
        <w:t>dětmi</w:t>
      </w:r>
      <w:r>
        <w:rPr>
          <w:rFonts w:ascii="Arial" w:hAnsi="Arial" w:cs="Arial"/>
          <w:sz w:val="22"/>
          <w:szCs w:val="22"/>
        </w:rPr>
        <w:t xml:space="preserve"> (azylového domu z hlediska terminologie zákona o sociálních službách)</w:t>
      </w:r>
      <w:r w:rsidRPr="00945DA5">
        <w:rPr>
          <w:rFonts w:ascii="Arial" w:hAnsi="Arial" w:cs="Arial"/>
          <w:sz w:val="22"/>
          <w:szCs w:val="22"/>
        </w:rPr>
        <w:t xml:space="preserve"> a Střediska rané péče Třebíč, ve které bude své služby provozovat Oblastní charita Třebíč – organizační složka Diecézní charity Brno. Důvodem je několikaletý nevyhovující stav objektů, ve kterých jsou uvedené sociální služby provozovány, přičemž zhotovení prováděcí stavební dokumentace je přípravou na vyjednávání o možném financování novostavby z rozpočtu MPSV.</w:t>
      </w:r>
      <w:r>
        <w:rPr>
          <w:rFonts w:ascii="Arial" w:hAnsi="Arial" w:cs="Arial"/>
          <w:sz w:val="22"/>
          <w:szCs w:val="22"/>
        </w:rPr>
        <w:t xml:space="preserve"> V novostavbě bude možné poskytovat také přístřeší v azylovém domě ženám bez domova, které nyní nelze v rámci Vysočiny nikde umístit, pokud nehledají bydlení společně s dětmi. Azylový dům je službou určenou k zajištění přechodného bydlení pro lidi bez domova a bez finančních prostředků, přičemž v tomto případě se jedná především o osamělé matky s dětmi.</w:t>
      </w:r>
    </w:p>
    <w:p w:rsidR="00610439" w:rsidRDefault="00610439" w:rsidP="00CD5472">
      <w:pPr>
        <w:jc w:val="both"/>
        <w:rPr>
          <w:rFonts w:ascii="Arial" w:hAnsi="Arial" w:cs="Arial"/>
          <w:sz w:val="22"/>
          <w:szCs w:val="22"/>
        </w:rPr>
      </w:pPr>
    </w:p>
    <w:p w:rsidR="00811769" w:rsidRPr="00610439" w:rsidRDefault="00610439" w:rsidP="00CD5472">
      <w:pPr>
        <w:jc w:val="both"/>
        <w:rPr>
          <w:rFonts w:ascii="Arial" w:hAnsi="Arial" w:cs="Arial"/>
          <w:bCs/>
          <w:sz w:val="22"/>
        </w:rPr>
      </w:pPr>
      <w:r w:rsidRPr="00676998">
        <w:rPr>
          <w:rFonts w:ascii="Arial" w:hAnsi="Arial" w:cs="Arial"/>
          <w:bCs/>
          <w:sz w:val="22"/>
        </w:rPr>
        <w:t>Odbor školství, mládeže a sportu nemá připomínky k návrhu usnesení.</w:t>
      </w:r>
    </w:p>
    <w:p w:rsidR="00647D70" w:rsidRDefault="00610439" w:rsidP="00647D70">
      <w:pPr>
        <w:jc w:val="both"/>
        <w:rPr>
          <w:rFonts w:ascii="Arial" w:hAnsi="Arial" w:cs="Arial"/>
          <w:bCs/>
          <w:sz w:val="22"/>
        </w:rPr>
      </w:pPr>
      <w:r w:rsidRPr="00233868">
        <w:rPr>
          <w:rFonts w:ascii="Arial" w:hAnsi="Arial" w:cs="Arial"/>
          <w:bCs/>
          <w:sz w:val="22"/>
        </w:rPr>
        <w:t>Odbor sekretariátu hejtmana nemá připomínky k návrhu usnesení.</w:t>
      </w:r>
    </w:p>
    <w:p w:rsidR="00985263" w:rsidRDefault="00985263">
      <w:pPr>
        <w:jc w:val="both"/>
        <w:rPr>
          <w:rFonts w:ascii="Arial" w:hAnsi="Arial" w:cs="Arial"/>
          <w:b/>
          <w:bCs/>
          <w:sz w:val="22"/>
        </w:rPr>
      </w:pPr>
    </w:p>
    <w:p w:rsidR="00964591" w:rsidRDefault="00964591">
      <w:pPr>
        <w:jc w:val="both"/>
        <w:rPr>
          <w:rFonts w:ascii="Arial" w:hAnsi="Arial" w:cs="Arial"/>
          <w:b/>
          <w:bCs/>
          <w:sz w:val="22"/>
        </w:rPr>
      </w:pPr>
    </w:p>
    <w:p w:rsidR="00985263" w:rsidRDefault="0098526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985263" w:rsidRDefault="00985263">
      <w:pPr>
        <w:jc w:val="both"/>
        <w:rPr>
          <w:rFonts w:ascii="Arial" w:hAnsi="Arial" w:cs="Arial"/>
          <w:sz w:val="22"/>
        </w:rPr>
      </w:pPr>
    </w:p>
    <w:p w:rsidR="00985263" w:rsidRDefault="00685C0F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Rada kraje</w:t>
      </w:r>
    </w:p>
    <w:p w:rsidR="00964591" w:rsidRDefault="0096459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="00685C0F">
        <w:rPr>
          <w:rFonts w:ascii="Arial" w:hAnsi="Arial" w:cs="Arial"/>
          <w:b/>
          <w:sz w:val="22"/>
        </w:rPr>
        <w:t>oporučuje</w:t>
      </w:r>
    </w:p>
    <w:p w:rsidR="00524E08" w:rsidRPr="00524E08" w:rsidRDefault="00685C0F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</w:rPr>
      </w:pPr>
      <w:r w:rsidRPr="00964591">
        <w:rPr>
          <w:rFonts w:ascii="Arial" w:hAnsi="Arial" w:cs="Arial"/>
          <w:sz w:val="22"/>
        </w:rPr>
        <w:t>zastupitelstvu kraje</w:t>
      </w:r>
      <w:r w:rsidR="00964591">
        <w:rPr>
          <w:rFonts w:ascii="Arial" w:hAnsi="Arial" w:cs="Arial"/>
          <w:sz w:val="22"/>
        </w:rPr>
        <w:t>:</w:t>
      </w:r>
    </w:p>
    <w:p w:rsidR="00985263" w:rsidRPr="00BC207A" w:rsidRDefault="00985263" w:rsidP="008D136D">
      <w:pPr>
        <w:pStyle w:val="Zhlav"/>
        <w:numPr>
          <w:ilvl w:val="0"/>
          <w:numId w:val="6"/>
        </w:numPr>
        <w:tabs>
          <w:tab w:val="clear" w:pos="1065"/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</w:rPr>
      </w:pPr>
      <w:r w:rsidRPr="00BC207A">
        <w:rPr>
          <w:rFonts w:ascii="Arial" w:hAnsi="Arial" w:cs="Arial"/>
          <w:sz w:val="22"/>
        </w:rPr>
        <w:t xml:space="preserve">zapojení disponibilního zůstatku </w:t>
      </w:r>
      <w:r w:rsidR="00BC207A">
        <w:rPr>
          <w:rFonts w:ascii="Arial" w:hAnsi="Arial" w:cs="Arial"/>
          <w:sz w:val="22"/>
        </w:rPr>
        <w:t>K</w:t>
      </w:r>
      <w:r w:rsidRPr="00BC207A">
        <w:rPr>
          <w:rFonts w:ascii="Arial" w:hAnsi="Arial" w:cs="Arial"/>
          <w:sz w:val="22"/>
        </w:rPr>
        <w:t>raje Vysočina za rok 201</w:t>
      </w:r>
      <w:r w:rsidR="00B514B3">
        <w:rPr>
          <w:rFonts w:ascii="Arial" w:hAnsi="Arial" w:cs="Arial"/>
          <w:sz w:val="22"/>
        </w:rPr>
        <w:t>3</w:t>
      </w:r>
      <w:r w:rsidRPr="00BC207A">
        <w:rPr>
          <w:rFonts w:ascii="Arial" w:hAnsi="Arial" w:cs="Arial"/>
          <w:sz w:val="22"/>
        </w:rPr>
        <w:t xml:space="preserve"> do rozpočtu </w:t>
      </w:r>
      <w:r w:rsidR="00BC207A">
        <w:rPr>
          <w:rFonts w:ascii="Arial" w:hAnsi="Arial" w:cs="Arial"/>
          <w:sz w:val="22"/>
        </w:rPr>
        <w:t>K</w:t>
      </w:r>
      <w:r w:rsidRPr="00BC207A">
        <w:rPr>
          <w:rFonts w:ascii="Arial" w:hAnsi="Arial" w:cs="Arial"/>
          <w:sz w:val="22"/>
        </w:rPr>
        <w:t>raje Vysočina na rok 201</w:t>
      </w:r>
      <w:r w:rsidR="00B514B3">
        <w:rPr>
          <w:rFonts w:ascii="Arial" w:hAnsi="Arial" w:cs="Arial"/>
          <w:sz w:val="22"/>
        </w:rPr>
        <w:t>4</w:t>
      </w:r>
      <w:r w:rsidRPr="00BC207A">
        <w:rPr>
          <w:rFonts w:ascii="Arial" w:hAnsi="Arial" w:cs="Arial"/>
          <w:sz w:val="22"/>
        </w:rPr>
        <w:t xml:space="preserve"> dle materiálu </w:t>
      </w:r>
      <w:r w:rsidR="00685C0F">
        <w:rPr>
          <w:rFonts w:ascii="Arial" w:hAnsi="Arial" w:cs="Arial"/>
          <w:sz w:val="22"/>
        </w:rPr>
        <w:t>R</w:t>
      </w:r>
      <w:r w:rsidRPr="00BC207A">
        <w:rPr>
          <w:rFonts w:ascii="Arial" w:hAnsi="Arial" w:cs="Arial"/>
          <w:sz w:val="22"/>
        </w:rPr>
        <w:t>K-</w:t>
      </w:r>
      <w:r w:rsidR="00685C0F">
        <w:rPr>
          <w:rFonts w:ascii="Arial" w:hAnsi="Arial" w:cs="Arial"/>
          <w:sz w:val="22"/>
        </w:rPr>
        <w:t>1</w:t>
      </w:r>
      <w:r w:rsidRPr="00BC207A">
        <w:rPr>
          <w:rFonts w:ascii="Arial" w:hAnsi="Arial" w:cs="Arial"/>
          <w:sz w:val="22"/>
        </w:rPr>
        <w:t>0-201</w:t>
      </w:r>
      <w:r w:rsidR="00B514B3">
        <w:rPr>
          <w:rFonts w:ascii="Arial" w:hAnsi="Arial" w:cs="Arial"/>
          <w:sz w:val="22"/>
        </w:rPr>
        <w:t>4</w:t>
      </w:r>
      <w:r w:rsidR="00964591">
        <w:rPr>
          <w:rFonts w:ascii="Arial" w:hAnsi="Arial" w:cs="Arial"/>
          <w:sz w:val="22"/>
        </w:rPr>
        <w:t>-50</w:t>
      </w:r>
      <w:r w:rsidR="008D136D">
        <w:rPr>
          <w:rFonts w:ascii="Arial" w:hAnsi="Arial" w:cs="Arial"/>
          <w:sz w:val="22"/>
        </w:rPr>
        <w:t>, př. </w:t>
      </w:r>
      <w:r w:rsidRPr="00BC207A">
        <w:rPr>
          <w:rFonts w:ascii="Arial" w:hAnsi="Arial" w:cs="Arial"/>
          <w:sz w:val="22"/>
        </w:rPr>
        <w:t>1;</w:t>
      </w:r>
    </w:p>
    <w:p w:rsidR="00985263" w:rsidRDefault="00685C0F" w:rsidP="008D136D">
      <w:pPr>
        <w:pStyle w:val="Zhlav"/>
        <w:numPr>
          <w:ilvl w:val="0"/>
          <w:numId w:val="6"/>
        </w:numPr>
        <w:tabs>
          <w:tab w:val="clear" w:pos="1065"/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rozhodnout poskytnout dar </w:t>
      </w:r>
      <w:r w:rsidR="008448CC">
        <w:rPr>
          <w:rFonts w:ascii="Arial" w:hAnsi="Arial" w:cs="Arial"/>
          <w:sz w:val="22"/>
        </w:rPr>
        <w:t xml:space="preserve">Krajskému ředitelství policie kraje Vysočina ve výši 2 500 000 Kč </w:t>
      </w:r>
      <w:r w:rsidR="00CF1E7B">
        <w:rPr>
          <w:rFonts w:ascii="Arial" w:hAnsi="Arial" w:cs="Arial"/>
          <w:sz w:val="22"/>
        </w:rPr>
        <w:t xml:space="preserve">dle materiálu </w:t>
      </w:r>
      <w:r w:rsidR="008448CC">
        <w:rPr>
          <w:rFonts w:ascii="Arial" w:hAnsi="Arial" w:cs="Arial"/>
          <w:sz w:val="22"/>
        </w:rPr>
        <w:t>R</w:t>
      </w:r>
      <w:r w:rsidR="00CF1E7B">
        <w:rPr>
          <w:rFonts w:ascii="Arial" w:hAnsi="Arial" w:cs="Arial"/>
          <w:sz w:val="22"/>
        </w:rPr>
        <w:t>K-</w:t>
      </w:r>
      <w:r w:rsidR="00524E08">
        <w:rPr>
          <w:rFonts w:ascii="Arial" w:hAnsi="Arial" w:cs="Arial"/>
          <w:sz w:val="22"/>
        </w:rPr>
        <w:t>1</w:t>
      </w:r>
      <w:r w:rsidR="008448CC">
        <w:rPr>
          <w:rFonts w:ascii="Arial" w:hAnsi="Arial" w:cs="Arial"/>
          <w:sz w:val="22"/>
        </w:rPr>
        <w:t>0</w:t>
      </w:r>
      <w:r w:rsidR="00CF1E7B">
        <w:rPr>
          <w:rFonts w:ascii="Arial" w:hAnsi="Arial" w:cs="Arial"/>
          <w:sz w:val="22"/>
        </w:rPr>
        <w:t>-201</w:t>
      </w:r>
      <w:r w:rsidR="00B514B3">
        <w:rPr>
          <w:rFonts w:ascii="Arial" w:hAnsi="Arial" w:cs="Arial"/>
          <w:sz w:val="22"/>
        </w:rPr>
        <w:t>4</w:t>
      </w:r>
      <w:r w:rsidR="00964591">
        <w:rPr>
          <w:rFonts w:ascii="Arial" w:hAnsi="Arial" w:cs="Arial"/>
          <w:sz w:val="22"/>
        </w:rPr>
        <w:t>-50</w:t>
      </w:r>
      <w:r w:rsidR="00CF1E7B">
        <w:rPr>
          <w:rFonts w:ascii="Arial" w:hAnsi="Arial" w:cs="Arial"/>
          <w:sz w:val="22"/>
        </w:rPr>
        <w:t>, př.</w:t>
      </w:r>
      <w:r w:rsidR="008D136D">
        <w:rPr>
          <w:rFonts w:ascii="Arial" w:hAnsi="Arial" w:cs="Arial"/>
          <w:sz w:val="22"/>
        </w:rPr>
        <w:t> </w:t>
      </w:r>
      <w:r w:rsidR="008448CC">
        <w:rPr>
          <w:rFonts w:ascii="Arial" w:hAnsi="Arial" w:cs="Arial"/>
          <w:sz w:val="22"/>
        </w:rPr>
        <w:t>2</w:t>
      </w:r>
      <w:r w:rsidR="00CF1E7B">
        <w:rPr>
          <w:rFonts w:ascii="Arial" w:hAnsi="Arial" w:cs="Arial"/>
          <w:sz w:val="22"/>
        </w:rPr>
        <w:t>;</w:t>
      </w:r>
      <w:r w:rsidR="00985263" w:rsidRPr="00BC207A">
        <w:rPr>
          <w:rFonts w:ascii="Arial" w:hAnsi="Arial" w:cs="Arial"/>
          <w:sz w:val="22"/>
        </w:rPr>
        <w:t xml:space="preserve"> </w:t>
      </w:r>
    </w:p>
    <w:p w:rsidR="008448CC" w:rsidRDefault="008448CC" w:rsidP="008D136D">
      <w:pPr>
        <w:pStyle w:val="Zhlav"/>
        <w:numPr>
          <w:ilvl w:val="0"/>
          <w:numId w:val="6"/>
        </w:numPr>
        <w:tabs>
          <w:tab w:val="clear" w:pos="1065"/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rozhodnout poskytnout dar FC Vysočina, a.s. ve výši 2 000 000 Kč dle materiálu</w:t>
      </w:r>
      <w:r w:rsidR="00964591">
        <w:rPr>
          <w:rFonts w:ascii="Arial" w:hAnsi="Arial" w:cs="Arial"/>
          <w:sz w:val="22"/>
        </w:rPr>
        <w:br/>
      </w:r>
      <w:bookmarkStart w:id="0" w:name="_GoBack"/>
      <w:bookmarkEnd w:id="0"/>
      <w:r>
        <w:rPr>
          <w:rFonts w:ascii="Arial" w:hAnsi="Arial" w:cs="Arial"/>
          <w:sz w:val="22"/>
        </w:rPr>
        <w:t>RK-10-1014</w:t>
      </w:r>
      <w:r w:rsidR="00964591">
        <w:rPr>
          <w:rFonts w:ascii="Arial" w:hAnsi="Arial" w:cs="Arial"/>
          <w:sz w:val="22"/>
        </w:rPr>
        <w:t>-50</w:t>
      </w:r>
      <w:r>
        <w:rPr>
          <w:rFonts w:ascii="Arial" w:hAnsi="Arial" w:cs="Arial"/>
          <w:sz w:val="22"/>
        </w:rPr>
        <w:t>, př. 3;</w:t>
      </w:r>
    </w:p>
    <w:p w:rsidR="00160B43" w:rsidRDefault="008448CC" w:rsidP="00160B43">
      <w:pPr>
        <w:pStyle w:val="Zhlav"/>
        <w:numPr>
          <w:ilvl w:val="0"/>
          <w:numId w:val="6"/>
        </w:numPr>
        <w:tabs>
          <w:tab w:val="clear" w:pos="1065"/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</w:rPr>
      </w:pPr>
      <w:r w:rsidRPr="008448CC">
        <w:rPr>
          <w:rFonts w:ascii="Arial" w:hAnsi="Arial" w:cs="Arial"/>
          <w:sz w:val="22"/>
        </w:rPr>
        <w:t>rozhodnout poskytnout dotaci ve výši 500 000 Kč Diecézní charitě Brno, pro oblastní charitu Třebíč dle materiálu RK-10-2014</w:t>
      </w:r>
      <w:r w:rsidR="00964591">
        <w:rPr>
          <w:rFonts w:ascii="Arial" w:hAnsi="Arial" w:cs="Arial"/>
          <w:sz w:val="22"/>
        </w:rPr>
        <w:t>-50</w:t>
      </w:r>
      <w:r w:rsidRPr="008448CC">
        <w:rPr>
          <w:rFonts w:ascii="Arial" w:hAnsi="Arial" w:cs="Arial"/>
          <w:sz w:val="22"/>
        </w:rPr>
        <w:t>, př. 4.</w:t>
      </w:r>
      <w:r w:rsidR="00964591">
        <w:rPr>
          <w:rFonts w:ascii="Arial" w:hAnsi="Arial" w:cs="Arial"/>
          <w:sz w:val="22"/>
        </w:rPr>
        <w:t xml:space="preserve"> </w:t>
      </w:r>
    </w:p>
    <w:p w:rsidR="008448CC" w:rsidRPr="008448CC" w:rsidRDefault="008448CC" w:rsidP="008448C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985263" w:rsidRDefault="0098526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 xml:space="preserve">ekonomický odbor, odbor </w:t>
      </w:r>
      <w:r w:rsidR="008448CC">
        <w:rPr>
          <w:rFonts w:ascii="Arial" w:hAnsi="Arial" w:cs="Arial"/>
          <w:sz w:val="22"/>
        </w:rPr>
        <w:t>sekretariátu hejtmana</w:t>
      </w:r>
      <w:r w:rsidR="00160B43">
        <w:rPr>
          <w:rFonts w:ascii="Arial" w:hAnsi="Arial" w:cs="Arial"/>
          <w:sz w:val="22"/>
        </w:rPr>
        <w:t xml:space="preserve">, </w:t>
      </w:r>
      <w:r w:rsidR="00CB50D6">
        <w:rPr>
          <w:rFonts w:ascii="Arial" w:hAnsi="Arial" w:cs="Arial"/>
          <w:sz w:val="22"/>
        </w:rPr>
        <w:t xml:space="preserve">odbor </w:t>
      </w:r>
      <w:r w:rsidR="008448CC">
        <w:rPr>
          <w:rFonts w:ascii="Arial" w:hAnsi="Arial" w:cs="Arial"/>
          <w:sz w:val="22"/>
        </w:rPr>
        <w:t>školství, mládeže a sportu, odbor sociálních věcí</w:t>
      </w:r>
    </w:p>
    <w:p w:rsidR="00985263" w:rsidRDefault="0098526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>
        <w:rPr>
          <w:rFonts w:ascii="Arial" w:hAnsi="Arial" w:cs="Arial"/>
          <w:sz w:val="22"/>
        </w:rPr>
        <w:t>31. 12. 201</w:t>
      </w:r>
      <w:r w:rsidR="00B514B3">
        <w:rPr>
          <w:rFonts w:ascii="Arial" w:hAnsi="Arial" w:cs="Arial"/>
          <w:sz w:val="22"/>
        </w:rPr>
        <w:t>4</w:t>
      </w:r>
    </w:p>
    <w:sectPr w:rsidR="00985263" w:rsidSect="00BF164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C0" w:rsidRDefault="006774C0">
      <w:r>
        <w:separator/>
      </w:r>
    </w:p>
  </w:endnote>
  <w:endnote w:type="continuationSeparator" w:id="0">
    <w:p w:rsidR="006774C0" w:rsidRDefault="0067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08" w:rsidRDefault="00133E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4E0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4E08" w:rsidRDefault="00524E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08" w:rsidRDefault="00133EDE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 w:rsidR="00524E08"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964591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524E08" w:rsidRDefault="00524E08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úkol – odpovědnost:</w:t>
    </w:r>
    <w:r>
      <w:rPr>
        <w:rFonts w:ascii="Arial" w:hAnsi="Arial" w:cs="Arial"/>
        <w:sz w:val="18"/>
        <w:szCs w:val="18"/>
      </w:rPr>
      <w:t xml:space="preserve"> EO, O</w:t>
    </w:r>
    <w:r w:rsidR="007E472B">
      <w:rPr>
        <w:rFonts w:ascii="Arial" w:hAnsi="Arial" w:cs="Arial"/>
        <w:sz w:val="18"/>
        <w:szCs w:val="18"/>
      </w:rPr>
      <w:t>SH</w:t>
    </w:r>
    <w:r>
      <w:rPr>
        <w:rFonts w:ascii="Arial" w:hAnsi="Arial" w:cs="Arial"/>
        <w:sz w:val="18"/>
        <w:szCs w:val="18"/>
      </w:rPr>
      <w:t>, O</w:t>
    </w:r>
    <w:r w:rsidR="007E472B">
      <w:rPr>
        <w:rFonts w:ascii="Arial" w:hAnsi="Arial" w:cs="Arial"/>
        <w:sz w:val="18"/>
        <w:szCs w:val="18"/>
      </w:rPr>
      <w:t>ŠM</w:t>
    </w:r>
    <w:r>
      <w:rPr>
        <w:rFonts w:ascii="Arial" w:hAnsi="Arial" w:cs="Arial"/>
        <w:sz w:val="18"/>
        <w:szCs w:val="18"/>
      </w:rPr>
      <w:t>S</w:t>
    </w:r>
    <w:r w:rsidR="007E472B">
      <w:rPr>
        <w:rFonts w:ascii="Arial" w:hAnsi="Arial" w:cs="Arial"/>
        <w:sz w:val="18"/>
        <w:szCs w:val="18"/>
      </w:rPr>
      <w:t>, OSV</w:t>
    </w:r>
  </w:p>
  <w:p w:rsidR="00524E08" w:rsidRDefault="00524E08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  <w:szCs w:val="18"/>
      </w:rPr>
      <w:t>31. 12. 2014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C0" w:rsidRDefault="006774C0">
      <w:r>
        <w:separator/>
      </w:r>
    </w:p>
  </w:footnote>
  <w:footnote w:type="continuationSeparator" w:id="0">
    <w:p w:rsidR="006774C0" w:rsidRDefault="0067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74A72"/>
    <w:multiLevelType w:val="hybridMultilevel"/>
    <w:tmpl w:val="573041D4"/>
    <w:lvl w:ilvl="0" w:tplc="39E2F6B2">
      <w:start w:val="4"/>
      <w:numFmt w:val="bullet"/>
      <w:lvlText w:val=""/>
      <w:lvlJc w:val="left"/>
      <w:pPr>
        <w:tabs>
          <w:tab w:val="num" w:pos="1065"/>
        </w:tabs>
        <w:ind w:left="1062" w:hanging="357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D5C46"/>
    <w:multiLevelType w:val="hybridMultilevel"/>
    <w:tmpl w:val="4C68AA92"/>
    <w:lvl w:ilvl="0" w:tplc="39E2F6B2">
      <w:start w:val="4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20B79"/>
    <w:multiLevelType w:val="hybridMultilevel"/>
    <w:tmpl w:val="ACC45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4167A"/>
    <w:multiLevelType w:val="hybridMultilevel"/>
    <w:tmpl w:val="4788BDBC"/>
    <w:lvl w:ilvl="0" w:tplc="9C50357A">
      <w:start w:val="4"/>
      <w:numFmt w:val="bullet"/>
      <w:lvlText w:val=""/>
      <w:lvlJc w:val="left"/>
      <w:pPr>
        <w:tabs>
          <w:tab w:val="num" w:pos="1065"/>
        </w:tabs>
        <w:ind w:left="1062" w:hanging="357"/>
      </w:pPr>
      <w:rPr>
        <w:rFonts w:ascii="Symbol" w:hAnsi="Symbol" w:hint="default"/>
        <w:color w:val="auto"/>
      </w:rPr>
    </w:lvl>
    <w:lvl w:ilvl="1" w:tplc="065A19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64"/>
    <w:rsid w:val="00024A0E"/>
    <w:rsid w:val="000408C6"/>
    <w:rsid w:val="000D719B"/>
    <w:rsid w:val="00104868"/>
    <w:rsid w:val="001051A5"/>
    <w:rsid w:val="001062F6"/>
    <w:rsid w:val="00133EDE"/>
    <w:rsid w:val="00141F5F"/>
    <w:rsid w:val="0015643B"/>
    <w:rsid w:val="001602C8"/>
    <w:rsid w:val="00160B43"/>
    <w:rsid w:val="00197B1E"/>
    <w:rsid w:val="001B01DE"/>
    <w:rsid w:val="001B2A72"/>
    <w:rsid w:val="001B3736"/>
    <w:rsid w:val="001C2E0B"/>
    <w:rsid w:val="00200A24"/>
    <w:rsid w:val="00226150"/>
    <w:rsid w:val="002278B3"/>
    <w:rsid w:val="00233868"/>
    <w:rsid w:val="00255162"/>
    <w:rsid w:val="00285EDB"/>
    <w:rsid w:val="002928F3"/>
    <w:rsid w:val="002B7210"/>
    <w:rsid w:val="002E1F75"/>
    <w:rsid w:val="002E4E28"/>
    <w:rsid w:val="002E7572"/>
    <w:rsid w:val="002F5207"/>
    <w:rsid w:val="00301E5B"/>
    <w:rsid w:val="00304680"/>
    <w:rsid w:val="003335A4"/>
    <w:rsid w:val="0033610B"/>
    <w:rsid w:val="00392215"/>
    <w:rsid w:val="00394701"/>
    <w:rsid w:val="003C2C4D"/>
    <w:rsid w:val="003E5C14"/>
    <w:rsid w:val="003F6D9D"/>
    <w:rsid w:val="00404778"/>
    <w:rsid w:val="0040743D"/>
    <w:rsid w:val="00414120"/>
    <w:rsid w:val="004221AF"/>
    <w:rsid w:val="00473C20"/>
    <w:rsid w:val="004822D0"/>
    <w:rsid w:val="0049695B"/>
    <w:rsid w:val="004A7F1F"/>
    <w:rsid w:val="004B5CE5"/>
    <w:rsid w:val="004E1C5E"/>
    <w:rsid w:val="00513082"/>
    <w:rsid w:val="005136CB"/>
    <w:rsid w:val="00524E08"/>
    <w:rsid w:val="00531507"/>
    <w:rsid w:val="00552EB1"/>
    <w:rsid w:val="005912CF"/>
    <w:rsid w:val="00591764"/>
    <w:rsid w:val="005A1526"/>
    <w:rsid w:val="005B238F"/>
    <w:rsid w:val="005D682D"/>
    <w:rsid w:val="005E37F0"/>
    <w:rsid w:val="00610439"/>
    <w:rsid w:val="00647D70"/>
    <w:rsid w:val="006647C8"/>
    <w:rsid w:val="00673461"/>
    <w:rsid w:val="00676998"/>
    <w:rsid w:val="006774C0"/>
    <w:rsid w:val="00685C0F"/>
    <w:rsid w:val="006A5C90"/>
    <w:rsid w:val="006B4C2F"/>
    <w:rsid w:val="006D19C4"/>
    <w:rsid w:val="00723E5A"/>
    <w:rsid w:val="0072692C"/>
    <w:rsid w:val="0073009B"/>
    <w:rsid w:val="00757719"/>
    <w:rsid w:val="0076359D"/>
    <w:rsid w:val="00774E9F"/>
    <w:rsid w:val="007A1874"/>
    <w:rsid w:val="007C486D"/>
    <w:rsid w:val="007E472B"/>
    <w:rsid w:val="007E5722"/>
    <w:rsid w:val="008041FD"/>
    <w:rsid w:val="008103BF"/>
    <w:rsid w:val="00811769"/>
    <w:rsid w:val="0081242C"/>
    <w:rsid w:val="008448CC"/>
    <w:rsid w:val="00852FA4"/>
    <w:rsid w:val="00854C8A"/>
    <w:rsid w:val="00865AAE"/>
    <w:rsid w:val="00881BBA"/>
    <w:rsid w:val="00893377"/>
    <w:rsid w:val="00895AF4"/>
    <w:rsid w:val="008B2F3E"/>
    <w:rsid w:val="008C4BEC"/>
    <w:rsid w:val="008D136D"/>
    <w:rsid w:val="008F3417"/>
    <w:rsid w:val="00912C66"/>
    <w:rsid w:val="0092645D"/>
    <w:rsid w:val="00945DA5"/>
    <w:rsid w:val="009466AB"/>
    <w:rsid w:val="00964591"/>
    <w:rsid w:val="00985263"/>
    <w:rsid w:val="009A2996"/>
    <w:rsid w:val="009A6E38"/>
    <w:rsid w:val="00A1023C"/>
    <w:rsid w:val="00A1032D"/>
    <w:rsid w:val="00A1270C"/>
    <w:rsid w:val="00A31849"/>
    <w:rsid w:val="00A32385"/>
    <w:rsid w:val="00A3380F"/>
    <w:rsid w:val="00A36B2A"/>
    <w:rsid w:val="00A87EE0"/>
    <w:rsid w:val="00B12868"/>
    <w:rsid w:val="00B13CDA"/>
    <w:rsid w:val="00B478BB"/>
    <w:rsid w:val="00B514B3"/>
    <w:rsid w:val="00B738F8"/>
    <w:rsid w:val="00B82C61"/>
    <w:rsid w:val="00BA7A7E"/>
    <w:rsid w:val="00BC207A"/>
    <w:rsid w:val="00BD49D8"/>
    <w:rsid w:val="00BF1647"/>
    <w:rsid w:val="00C6444D"/>
    <w:rsid w:val="00C74347"/>
    <w:rsid w:val="00C75836"/>
    <w:rsid w:val="00C77A27"/>
    <w:rsid w:val="00C77C2B"/>
    <w:rsid w:val="00C9643B"/>
    <w:rsid w:val="00CA7C5B"/>
    <w:rsid w:val="00CB50D6"/>
    <w:rsid w:val="00CC3495"/>
    <w:rsid w:val="00CD1AD0"/>
    <w:rsid w:val="00CD5472"/>
    <w:rsid w:val="00CD775F"/>
    <w:rsid w:val="00CF1E7B"/>
    <w:rsid w:val="00D122A2"/>
    <w:rsid w:val="00D50DFD"/>
    <w:rsid w:val="00D918A4"/>
    <w:rsid w:val="00DE641F"/>
    <w:rsid w:val="00E13C54"/>
    <w:rsid w:val="00E173A5"/>
    <w:rsid w:val="00E35D01"/>
    <w:rsid w:val="00E81864"/>
    <w:rsid w:val="00E851DF"/>
    <w:rsid w:val="00E94592"/>
    <w:rsid w:val="00EA4267"/>
    <w:rsid w:val="00F11008"/>
    <w:rsid w:val="00F11548"/>
    <w:rsid w:val="00F41CD1"/>
    <w:rsid w:val="00F42A8E"/>
    <w:rsid w:val="00F66BF7"/>
    <w:rsid w:val="00FA1B02"/>
    <w:rsid w:val="00FB6A62"/>
    <w:rsid w:val="00FD60AB"/>
    <w:rsid w:val="00FD7C7C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rPr>
      <w:rFonts w:ascii="Arial" w:hAnsi="Arial" w:cs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b/>
      <w:bCs/>
      <w:sz w:val="22"/>
    </w:rPr>
  </w:style>
  <w:style w:type="paragraph" w:styleId="Zkladntext3">
    <w:name w:val="Body Text 3"/>
    <w:basedOn w:val="Normln"/>
    <w:link w:val="Zkladntext3Char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1032D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rPr>
      <w:rFonts w:ascii="Arial" w:hAnsi="Arial" w:cs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b/>
      <w:bCs/>
      <w:sz w:val="22"/>
    </w:rPr>
  </w:style>
  <w:style w:type="paragraph" w:styleId="Zkladntext3">
    <w:name w:val="Body Text 3"/>
    <w:basedOn w:val="Normln"/>
    <w:link w:val="Zkladntext3Char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1032D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841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5690</CharactersWithSpaces>
  <SharedDoc>false</SharedDoc>
  <HLinks>
    <vt:vector size="6" baseType="variant"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http://srv-int2/gui/?page=show_zadosti&amp;id_dotace=O00260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janickova</dc:creator>
  <cp:lastModifiedBy>Pospíchalová Petra</cp:lastModifiedBy>
  <cp:revision>5</cp:revision>
  <cp:lastPrinted>2014-03-10T14:09:00Z</cp:lastPrinted>
  <dcterms:created xsi:type="dcterms:W3CDTF">2014-03-11T08:18:00Z</dcterms:created>
  <dcterms:modified xsi:type="dcterms:W3CDTF">2014-03-13T09:45:00Z</dcterms:modified>
</cp:coreProperties>
</file>