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44" w:rsidRDefault="00291244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202812">
        <w:rPr>
          <w:rFonts w:ascii="Arial" w:hAnsi="Arial" w:cs="Arial"/>
          <w:bCs w:val="0"/>
          <w:sz w:val="22"/>
        </w:rPr>
        <w:t>39</w:t>
      </w:r>
      <w:r>
        <w:rPr>
          <w:rFonts w:ascii="Arial" w:hAnsi="Arial" w:cs="Arial"/>
          <w:bCs w:val="0"/>
          <w:sz w:val="22"/>
        </w:rPr>
        <w:t>-20</w:t>
      </w:r>
      <w:r w:rsidR="005F79FD">
        <w:rPr>
          <w:rFonts w:ascii="Arial" w:hAnsi="Arial" w:cs="Arial"/>
          <w:bCs w:val="0"/>
          <w:sz w:val="22"/>
        </w:rPr>
        <w:t>1</w:t>
      </w:r>
      <w:r w:rsidR="0052263D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620064">
        <w:rPr>
          <w:rFonts w:ascii="Arial" w:hAnsi="Arial" w:cs="Arial"/>
          <w:bCs w:val="0"/>
          <w:sz w:val="22"/>
        </w:rPr>
        <w:t>21</w:t>
      </w:r>
    </w:p>
    <w:p w:rsidR="00291244" w:rsidRPr="00620064" w:rsidRDefault="00291244" w:rsidP="00620064">
      <w:pPr>
        <w:jc w:val="both"/>
        <w:rPr>
          <w:rFonts w:ascii="Arial" w:hAnsi="Arial" w:cs="Arial"/>
          <w:b/>
          <w:bCs/>
          <w:sz w:val="22"/>
        </w:rPr>
      </w:pPr>
    </w:p>
    <w:p w:rsidR="00354D17" w:rsidRPr="00620064" w:rsidRDefault="00291244" w:rsidP="00620064">
      <w:pPr>
        <w:pStyle w:val="Zkladntext"/>
        <w:rPr>
          <w:b/>
        </w:rPr>
      </w:pPr>
      <w:r w:rsidRPr="00620064">
        <w:rPr>
          <w:b/>
        </w:rPr>
        <w:t xml:space="preserve">Projekt </w:t>
      </w:r>
      <w:r w:rsidR="002B0D6D" w:rsidRPr="00620064">
        <w:rPr>
          <w:b/>
        </w:rPr>
        <w:t xml:space="preserve">Technologické centrum kraje Vysočina a Spisová služba </w:t>
      </w:r>
      <w:r w:rsidR="00202812" w:rsidRPr="00620064">
        <w:rPr>
          <w:b/>
        </w:rPr>
        <w:t>– návrh řešení na uplatnění sankcí</w:t>
      </w:r>
    </w:p>
    <w:p w:rsidR="00DB043B" w:rsidRPr="00620064" w:rsidRDefault="00DB043B" w:rsidP="00620064">
      <w:pPr>
        <w:pStyle w:val="Zkladntext"/>
        <w:rPr>
          <w:bCs/>
        </w:rPr>
      </w:pPr>
    </w:p>
    <w:p w:rsidR="00291244" w:rsidRPr="00620064" w:rsidRDefault="00F448F8" w:rsidP="00620064">
      <w:pPr>
        <w:jc w:val="both"/>
        <w:rPr>
          <w:rFonts w:ascii="Arial" w:hAnsi="Arial" w:cs="Arial"/>
          <w:sz w:val="22"/>
        </w:rPr>
      </w:pPr>
      <w:r w:rsidRPr="0062006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E7A48D4" wp14:editId="7448AF79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1276350" cy="577215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44" w:rsidRDefault="002912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26A75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291244" w:rsidRDefault="002912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453457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3.4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" strokecolor="white">
                <v:textbox inset="0,0,0,0">
                  <w:txbxContent>
                    <w:p w:rsidR="00291244" w:rsidRDefault="0029124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26A75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291244" w:rsidRDefault="0029124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453457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91244" w:rsidRPr="00620064">
        <w:rPr>
          <w:rFonts w:ascii="Arial" w:hAnsi="Arial" w:cs="Arial"/>
          <w:sz w:val="22"/>
        </w:rPr>
        <w:t xml:space="preserve">pro: jednání rady kraje č. </w:t>
      </w:r>
      <w:r w:rsidR="00202812" w:rsidRPr="00620064">
        <w:rPr>
          <w:rFonts w:ascii="Arial" w:hAnsi="Arial" w:cs="Arial"/>
          <w:sz w:val="22"/>
        </w:rPr>
        <w:t>3</w:t>
      </w:r>
      <w:r w:rsidR="002B0D6D" w:rsidRPr="00620064">
        <w:rPr>
          <w:rFonts w:ascii="Arial" w:hAnsi="Arial" w:cs="Arial"/>
          <w:sz w:val="22"/>
        </w:rPr>
        <w:t>9</w:t>
      </w:r>
      <w:r w:rsidR="00291244" w:rsidRPr="00620064">
        <w:rPr>
          <w:rFonts w:ascii="Arial" w:hAnsi="Arial" w:cs="Arial"/>
          <w:sz w:val="22"/>
        </w:rPr>
        <w:t>/20</w:t>
      </w:r>
      <w:r w:rsidR="004F4D76" w:rsidRPr="00620064">
        <w:rPr>
          <w:rFonts w:ascii="Arial" w:hAnsi="Arial" w:cs="Arial"/>
          <w:sz w:val="22"/>
        </w:rPr>
        <w:t>1</w:t>
      </w:r>
      <w:r w:rsidR="0052263D" w:rsidRPr="00620064">
        <w:rPr>
          <w:rFonts w:ascii="Arial" w:hAnsi="Arial" w:cs="Arial"/>
          <w:sz w:val="22"/>
        </w:rPr>
        <w:t>3</w:t>
      </w:r>
      <w:r w:rsidR="00291244" w:rsidRPr="00620064">
        <w:rPr>
          <w:rFonts w:ascii="Arial" w:hAnsi="Arial" w:cs="Arial"/>
          <w:sz w:val="22"/>
        </w:rPr>
        <w:t xml:space="preserve"> dne </w:t>
      </w:r>
      <w:r w:rsidR="00202812" w:rsidRPr="00620064">
        <w:rPr>
          <w:rFonts w:ascii="Arial" w:hAnsi="Arial" w:cs="Arial"/>
          <w:sz w:val="22"/>
        </w:rPr>
        <w:t>3. 12. 2013</w:t>
      </w:r>
    </w:p>
    <w:p w:rsidR="00291244" w:rsidRPr="00620064" w:rsidRDefault="009C55DA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sz w:val="22"/>
        </w:rPr>
        <w:t>zpracoval</w:t>
      </w:r>
      <w:r w:rsidR="00354D17" w:rsidRPr="00620064">
        <w:rPr>
          <w:rFonts w:ascii="Arial" w:hAnsi="Arial" w:cs="Arial"/>
          <w:sz w:val="22"/>
        </w:rPr>
        <w:t>a</w:t>
      </w:r>
      <w:r w:rsidR="00291244" w:rsidRPr="00620064">
        <w:rPr>
          <w:rFonts w:ascii="Arial" w:hAnsi="Arial" w:cs="Arial"/>
          <w:sz w:val="22"/>
        </w:rPr>
        <w:t>:</w:t>
      </w:r>
      <w:r w:rsidR="003F6F6E" w:rsidRPr="00620064">
        <w:rPr>
          <w:rFonts w:ascii="Arial" w:hAnsi="Arial" w:cs="Arial"/>
          <w:sz w:val="22"/>
        </w:rPr>
        <w:t xml:space="preserve"> </w:t>
      </w:r>
      <w:r w:rsidR="00202812" w:rsidRPr="00620064">
        <w:rPr>
          <w:rFonts w:ascii="Arial" w:hAnsi="Arial" w:cs="Arial"/>
          <w:sz w:val="22"/>
        </w:rPr>
        <w:t xml:space="preserve">P. Pavlinec, </w:t>
      </w:r>
      <w:r w:rsidR="008B31F2" w:rsidRPr="00620064">
        <w:rPr>
          <w:rFonts w:ascii="Arial" w:hAnsi="Arial" w:cs="Arial"/>
          <w:sz w:val="22"/>
        </w:rPr>
        <w:t>K. Mayerová</w:t>
      </w:r>
      <w:r w:rsidR="002B0D6D" w:rsidRPr="00620064">
        <w:rPr>
          <w:rFonts w:ascii="Arial" w:hAnsi="Arial" w:cs="Arial"/>
          <w:sz w:val="22"/>
        </w:rPr>
        <w:t xml:space="preserve">, </w:t>
      </w:r>
      <w:r w:rsidR="00202812" w:rsidRPr="00620064">
        <w:rPr>
          <w:rFonts w:ascii="Arial" w:hAnsi="Arial" w:cs="Arial"/>
          <w:sz w:val="22"/>
        </w:rPr>
        <w:t>V. Kotrbová</w:t>
      </w:r>
    </w:p>
    <w:p w:rsidR="00291244" w:rsidRPr="00620064" w:rsidRDefault="00291244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 xml:space="preserve">předkládá: </w:t>
      </w:r>
      <w:r w:rsidR="00202812" w:rsidRPr="00620064">
        <w:rPr>
          <w:rFonts w:ascii="Arial" w:hAnsi="Arial" w:cs="Arial"/>
          <w:sz w:val="22"/>
        </w:rPr>
        <w:t>P. Pavlinec</w:t>
      </w:r>
    </w:p>
    <w:p w:rsidR="00291244" w:rsidRPr="00620064" w:rsidRDefault="00291244" w:rsidP="006200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2B0D6D" w:rsidRPr="00620064" w:rsidRDefault="002B0D6D" w:rsidP="00620064">
      <w:pPr>
        <w:jc w:val="both"/>
        <w:rPr>
          <w:rFonts w:ascii="Arial" w:hAnsi="Arial" w:cs="Arial"/>
          <w:b/>
          <w:sz w:val="22"/>
        </w:rPr>
      </w:pPr>
      <w:r w:rsidRPr="00620064">
        <w:rPr>
          <w:rFonts w:ascii="Arial" w:hAnsi="Arial" w:cs="Arial"/>
          <w:b/>
          <w:sz w:val="22"/>
        </w:rPr>
        <w:t>Popis problému:</w:t>
      </w:r>
    </w:p>
    <w:p w:rsidR="00620064" w:rsidRDefault="00620064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02812" w:rsidRPr="00620064" w:rsidRDefault="00202812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V roce 2010 byla vypsána výběrová řízení na vybavení Technologického centra Kraje Vysočina</w:t>
      </w:r>
      <w:r w:rsidR="00215823" w:rsidRPr="00620064">
        <w:rPr>
          <w:rFonts w:ascii="Arial" w:hAnsi="Arial" w:cs="Arial"/>
          <w:sz w:val="22"/>
        </w:rPr>
        <w:t xml:space="preserve"> v rámci projektu Technologické centra kraje Vysočina a Spisová služba spolufinancovaného ze zdrojů Evropské unie a Evropského fondu pro regionální rozvoj v rámci Integrovaného operačního programu.</w:t>
      </w:r>
      <w:r w:rsidRPr="00620064">
        <w:rPr>
          <w:rFonts w:ascii="Arial" w:hAnsi="Arial" w:cs="Arial"/>
          <w:sz w:val="22"/>
        </w:rPr>
        <w:t xml:space="preserve"> V těchto výběrových řízení</w:t>
      </w:r>
      <w:r w:rsidR="00215823" w:rsidRPr="00620064">
        <w:rPr>
          <w:rFonts w:ascii="Arial" w:hAnsi="Arial" w:cs="Arial"/>
          <w:sz w:val="22"/>
        </w:rPr>
        <w:t>ch</w:t>
      </w:r>
      <w:r w:rsidR="00620064">
        <w:rPr>
          <w:rFonts w:ascii="Arial" w:hAnsi="Arial" w:cs="Arial"/>
          <w:sz w:val="22"/>
        </w:rPr>
        <w:t xml:space="preserve"> byli vybráni i </w:t>
      </w:r>
      <w:r w:rsidRPr="00620064">
        <w:rPr>
          <w:rFonts w:ascii="Arial" w:hAnsi="Arial" w:cs="Arial"/>
          <w:sz w:val="22"/>
        </w:rPr>
        <w:t xml:space="preserve">dodavatelé nových optických tras sítě </w:t>
      </w:r>
      <w:proofErr w:type="spellStart"/>
      <w:r w:rsidRPr="00620064">
        <w:rPr>
          <w:rFonts w:ascii="Arial" w:hAnsi="Arial" w:cs="Arial"/>
          <w:sz w:val="22"/>
        </w:rPr>
        <w:t>ROWANet</w:t>
      </w:r>
      <w:proofErr w:type="spellEnd"/>
      <w:r w:rsidRPr="00620064">
        <w:rPr>
          <w:rFonts w:ascii="Arial" w:hAnsi="Arial" w:cs="Arial"/>
          <w:sz w:val="22"/>
        </w:rPr>
        <w:t>. S</w:t>
      </w:r>
      <w:r w:rsidR="004317A1" w:rsidRPr="00620064">
        <w:rPr>
          <w:rFonts w:ascii="Arial" w:hAnsi="Arial" w:cs="Arial"/>
          <w:sz w:val="22"/>
        </w:rPr>
        <w:t xml:space="preserve"> vítězným </w:t>
      </w:r>
      <w:r w:rsidRPr="00620064">
        <w:rPr>
          <w:rFonts w:ascii="Arial" w:hAnsi="Arial" w:cs="Arial"/>
          <w:sz w:val="22"/>
        </w:rPr>
        <w:t>uchazečem První telefonní společnost s.</w:t>
      </w:r>
      <w:r w:rsidR="00E2744B" w:rsidRPr="00620064">
        <w:rPr>
          <w:rFonts w:ascii="Arial" w:hAnsi="Arial" w:cs="Arial"/>
          <w:sz w:val="22"/>
        </w:rPr>
        <w:t> </w:t>
      </w:r>
      <w:r w:rsidRPr="00620064">
        <w:rPr>
          <w:rFonts w:ascii="Arial" w:hAnsi="Arial" w:cs="Arial"/>
          <w:sz w:val="22"/>
        </w:rPr>
        <w:t>r.</w:t>
      </w:r>
      <w:r w:rsidR="00E2744B" w:rsidRPr="00620064">
        <w:rPr>
          <w:rFonts w:ascii="Arial" w:hAnsi="Arial" w:cs="Arial"/>
          <w:sz w:val="22"/>
        </w:rPr>
        <w:t> </w:t>
      </w:r>
      <w:r w:rsidRPr="00620064">
        <w:rPr>
          <w:rFonts w:ascii="Arial" w:hAnsi="Arial" w:cs="Arial"/>
          <w:sz w:val="22"/>
        </w:rPr>
        <w:t>o.</w:t>
      </w:r>
      <w:r w:rsidR="00E2744B" w:rsidRPr="00620064">
        <w:rPr>
          <w:rFonts w:ascii="Arial" w:hAnsi="Arial" w:cs="Arial"/>
          <w:sz w:val="22"/>
        </w:rPr>
        <w:t>,</w:t>
      </w:r>
      <w:r w:rsidRPr="00620064">
        <w:rPr>
          <w:rFonts w:ascii="Arial" w:hAnsi="Arial" w:cs="Arial"/>
          <w:sz w:val="22"/>
        </w:rPr>
        <w:t xml:space="preserve"> IČO 18198872</w:t>
      </w:r>
      <w:r w:rsidR="00E2744B" w:rsidRPr="00620064">
        <w:rPr>
          <w:rFonts w:ascii="Arial" w:hAnsi="Arial" w:cs="Arial"/>
          <w:sz w:val="22"/>
        </w:rPr>
        <w:t>,</w:t>
      </w:r>
      <w:r w:rsidRPr="00620064">
        <w:rPr>
          <w:rFonts w:ascii="Arial" w:hAnsi="Arial" w:cs="Arial"/>
          <w:sz w:val="22"/>
        </w:rPr>
        <w:t xml:space="preserve"> byly uzavřeny kupní smlouvy za účelem realizace </w:t>
      </w:r>
      <w:r w:rsidR="00620064">
        <w:rPr>
          <w:rFonts w:ascii="Arial" w:hAnsi="Arial" w:cs="Arial"/>
          <w:sz w:val="22"/>
        </w:rPr>
        <w:t>tří z </w:t>
      </w:r>
      <w:r w:rsidRPr="00620064">
        <w:rPr>
          <w:rFonts w:ascii="Arial" w:hAnsi="Arial" w:cs="Arial"/>
          <w:sz w:val="22"/>
        </w:rPr>
        <w:t xml:space="preserve">těchto tras: Chotěboř – Havlíčkův Brod, Třebíč – Velké Meziříčí, Světlá nad Sázavou – Havlíčkův </w:t>
      </w:r>
      <w:r w:rsidR="00632673" w:rsidRPr="00620064">
        <w:rPr>
          <w:rFonts w:ascii="Arial" w:hAnsi="Arial" w:cs="Arial"/>
          <w:sz w:val="22"/>
        </w:rPr>
        <w:t>Brod, s termínem realizace v říjnu 2011. Tyto termíny však dodavatel nedodržel. Zároveň byl upozorněn na skutečnost uplatnění sankcí z důvodu nedodržení dodací lhůty.</w:t>
      </w:r>
    </w:p>
    <w:p w:rsidR="00202812" w:rsidRPr="00620064" w:rsidRDefault="00202812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17045" w:rsidRPr="00620064" w:rsidRDefault="00632673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K předání optické trasy Světlá nad Sázavou – Havlíčkův Brod, blíže specifikované v Kupní smlouvě ze dne 11. 4. 2011, došlo dne 11. 11. 2013</w:t>
      </w:r>
      <w:r w:rsidR="00210E5A" w:rsidRPr="00620064">
        <w:rPr>
          <w:rFonts w:ascii="Arial" w:hAnsi="Arial" w:cs="Arial"/>
          <w:sz w:val="22"/>
        </w:rPr>
        <w:t xml:space="preserve"> (zpoždění oproti předpokládanému termínu dodání činí </w:t>
      </w:r>
      <w:r w:rsidR="00B50205" w:rsidRPr="00620064">
        <w:rPr>
          <w:rFonts w:ascii="Arial" w:hAnsi="Arial" w:cs="Arial"/>
          <w:sz w:val="22"/>
        </w:rPr>
        <w:t>741</w:t>
      </w:r>
      <w:r w:rsidR="00210E5A" w:rsidRPr="00620064">
        <w:rPr>
          <w:rFonts w:ascii="Arial" w:hAnsi="Arial" w:cs="Arial"/>
          <w:sz w:val="22"/>
        </w:rPr>
        <w:t xml:space="preserve"> dnů)</w:t>
      </w:r>
      <w:r w:rsidRPr="00620064">
        <w:rPr>
          <w:rFonts w:ascii="Arial" w:hAnsi="Arial" w:cs="Arial"/>
          <w:sz w:val="22"/>
        </w:rPr>
        <w:t xml:space="preserve">. Dodavatel vystavil fakturu na částku 7 243 000 Kč </w:t>
      </w:r>
      <w:r w:rsidR="00210E5A" w:rsidRPr="00620064">
        <w:rPr>
          <w:rFonts w:ascii="Arial" w:hAnsi="Arial" w:cs="Arial"/>
          <w:sz w:val="22"/>
        </w:rPr>
        <w:t xml:space="preserve">včetně DPH, což je </w:t>
      </w:r>
      <w:r w:rsidR="00521F90" w:rsidRPr="00620064">
        <w:rPr>
          <w:rFonts w:ascii="Arial" w:hAnsi="Arial" w:cs="Arial"/>
          <w:sz w:val="22"/>
        </w:rPr>
        <w:t xml:space="preserve">celková </w:t>
      </w:r>
      <w:r w:rsidR="00210E5A" w:rsidRPr="00620064">
        <w:rPr>
          <w:rFonts w:ascii="Arial" w:hAnsi="Arial" w:cs="Arial"/>
          <w:sz w:val="22"/>
        </w:rPr>
        <w:t>kupní cena stanovená smlouvou</w:t>
      </w:r>
      <w:r w:rsidRPr="00620064">
        <w:rPr>
          <w:rFonts w:ascii="Arial" w:hAnsi="Arial" w:cs="Arial"/>
          <w:sz w:val="22"/>
        </w:rPr>
        <w:t xml:space="preserve">. </w:t>
      </w:r>
    </w:p>
    <w:p w:rsidR="000B6E37" w:rsidRPr="00620064" w:rsidRDefault="00D17045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 xml:space="preserve">Dle čl. </w:t>
      </w:r>
      <w:r w:rsidR="004C0E11" w:rsidRPr="00620064">
        <w:rPr>
          <w:rFonts w:ascii="Arial" w:hAnsi="Arial" w:cs="Arial"/>
          <w:sz w:val="22"/>
        </w:rPr>
        <w:t>IV</w:t>
      </w:r>
      <w:r w:rsidRPr="00620064">
        <w:rPr>
          <w:rFonts w:ascii="Arial" w:hAnsi="Arial" w:cs="Arial"/>
          <w:sz w:val="22"/>
        </w:rPr>
        <w:t xml:space="preserve"> smlouvy je kraj oprávněn účtovat </w:t>
      </w:r>
      <w:r w:rsidR="00632673" w:rsidRPr="00620064">
        <w:rPr>
          <w:rFonts w:ascii="Arial" w:hAnsi="Arial" w:cs="Arial"/>
          <w:sz w:val="22"/>
        </w:rPr>
        <w:t xml:space="preserve">dodavateli </w:t>
      </w:r>
      <w:r w:rsidRPr="00620064">
        <w:rPr>
          <w:rFonts w:ascii="Arial" w:hAnsi="Arial" w:cs="Arial"/>
          <w:sz w:val="22"/>
        </w:rPr>
        <w:t xml:space="preserve">úrok z prodlení, který činí </w:t>
      </w:r>
      <w:r w:rsidR="004C0E11" w:rsidRPr="00620064">
        <w:rPr>
          <w:rFonts w:ascii="Arial" w:hAnsi="Arial" w:cs="Arial"/>
          <w:sz w:val="22"/>
        </w:rPr>
        <w:t>0,05</w:t>
      </w:r>
      <w:r w:rsidR="00620064">
        <w:rPr>
          <w:rFonts w:ascii="Arial" w:hAnsi="Arial" w:cs="Arial"/>
          <w:sz w:val="22"/>
        </w:rPr>
        <w:t> </w:t>
      </w:r>
      <w:r w:rsidRPr="00620064">
        <w:rPr>
          <w:rFonts w:ascii="Arial" w:hAnsi="Arial" w:cs="Arial"/>
          <w:sz w:val="22"/>
        </w:rPr>
        <w:t xml:space="preserve">% kupní ceny za každý i započatý den prodlení. </w:t>
      </w:r>
      <w:r w:rsidR="00DF7838" w:rsidRPr="00620064">
        <w:rPr>
          <w:rFonts w:ascii="Arial" w:hAnsi="Arial" w:cs="Arial"/>
          <w:sz w:val="22"/>
        </w:rPr>
        <w:t xml:space="preserve">Odbor ekonomický </w:t>
      </w:r>
      <w:r w:rsidR="006E0173" w:rsidRPr="00620064">
        <w:rPr>
          <w:rFonts w:ascii="Arial" w:hAnsi="Arial" w:cs="Arial"/>
          <w:sz w:val="22"/>
        </w:rPr>
        <w:t xml:space="preserve">Krajského úřadu Kraje Vysočina </w:t>
      </w:r>
      <w:r w:rsidR="00DF7838" w:rsidRPr="00620064">
        <w:rPr>
          <w:rFonts w:ascii="Arial" w:hAnsi="Arial" w:cs="Arial"/>
          <w:sz w:val="22"/>
        </w:rPr>
        <w:t xml:space="preserve">na základě průvodky k likvidaci </w:t>
      </w:r>
      <w:r w:rsidR="007F7797" w:rsidRPr="00620064">
        <w:rPr>
          <w:rFonts w:ascii="Arial" w:hAnsi="Arial" w:cs="Arial"/>
          <w:sz w:val="22"/>
        </w:rPr>
        <w:t xml:space="preserve">faktury dne 14. 11. 2013 </w:t>
      </w:r>
      <w:r w:rsidR="00DF7838" w:rsidRPr="00620064">
        <w:rPr>
          <w:rFonts w:ascii="Arial" w:hAnsi="Arial" w:cs="Arial"/>
          <w:sz w:val="22"/>
        </w:rPr>
        <w:t xml:space="preserve">provedl částečnou úhradu faktury ve výši 4 559 468,50 Kč. </w:t>
      </w:r>
      <w:r w:rsidR="007F7797" w:rsidRPr="00620064">
        <w:rPr>
          <w:rFonts w:ascii="Arial" w:hAnsi="Arial" w:cs="Arial"/>
          <w:sz w:val="22"/>
        </w:rPr>
        <w:t>Uhrazená č</w:t>
      </w:r>
      <w:r w:rsidR="00DF7838" w:rsidRPr="00620064">
        <w:rPr>
          <w:rFonts w:ascii="Arial" w:hAnsi="Arial" w:cs="Arial"/>
          <w:sz w:val="22"/>
        </w:rPr>
        <w:t xml:space="preserve">ástka byla vypočítána jako rozdíl ceny uvedené v kupní smlouvě a výší </w:t>
      </w:r>
      <w:r w:rsidR="000B6E37" w:rsidRPr="00620064">
        <w:rPr>
          <w:rFonts w:ascii="Arial" w:hAnsi="Arial" w:cs="Arial"/>
          <w:sz w:val="22"/>
        </w:rPr>
        <w:t>úroku z prodlení</w:t>
      </w:r>
      <w:r w:rsidR="00DF7838" w:rsidRPr="00620064">
        <w:rPr>
          <w:rFonts w:ascii="Arial" w:hAnsi="Arial" w:cs="Arial"/>
          <w:sz w:val="22"/>
        </w:rPr>
        <w:t>, kter</w:t>
      </w:r>
      <w:r w:rsidR="000B6E37" w:rsidRPr="00620064">
        <w:rPr>
          <w:rFonts w:ascii="Arial" w:hAnsi="Arial" w:cs="Arial"/>
          <w:sz w:val="22"/>
        </w:rPr>
        <w:t>á byla vypočtena v souladu se smlouvou za celou dobu prodlení s dodáním díla</w:t>
      </w:r>
      <w:r w:rsidR="00DF7838" w:rsidRPr="00620064">
        <w:rPr>
          <w:rFonts w:ascii="Arial" w:hAnsi="Arial" w:cs="Arial"/>
          <w:sz w:val="22"/>
        </w:rPr>
        <w:t xml:space="preserve">. </w:t>
      </w:r>
    </w:p>
    <w:p w:rsidR="00947243" w:rsidRPr="00620064" w:rsidRDefault="000B6E37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 xml:space="preserve">Vzhledem k tomu, že prodlení nebylo </w:t>
      </w:r>
      <w:r w:rsidR="00521F90" w:rsidRPr="00620064">
        <w:rPr>
          <w:rFonts w:ascii="Arial" w:hAnsi="Arial" w:cs="Arial"/>
          <w:sz w:val="22"/>
        </w:rPr>
        <w:t xml:space="preserve">dle průběžných informací od dodavatele </w:t>
      </w:r>
      <w:r w:rsidRPr="00620064">
        <w:rPr>
          <w:rFonts w:ascii="Arial" w:hAnsi="Arial" w:cs="Arial"/>
          <w:sz w:val="22"/>
        </w:rPr>
        <w:t xml:space="preserve">způsobeno pouze skutečnostmi na straně dodavatele, a tomu, že na realizaci akce </w:t>
      </w:r>
      <w:r w:rsidR="00521F90" w:rsidRPr="00620064">
        <w:rPr>
          <w:rFonts w:ascii="Arial" w:hAnsi="Arial" w:cs="Arial"/>
          <w:sz w:val="22"/>
        </w:rPr>
        <w:t xml:space="preserve">je přislíbena dotace </w:t>
      </w:r>
      <w:r w:rsidRPr="00620064">
        <w:rPr>
          <w:rFonts w:ascii="Arial" w:hAnsi="Arial" w:cs="Arial"/>
          <w:sz w:val="22"/>
        </w:rPr>
        <w:t>Integrovaného operačního programu (dále jen „IOP“)</w:t>
      </w:r>
      <w:r w:rsidR="00521F90" w:rsidRPr="00620064">
        <w:rPr>
          <w:rFonts w:ascii="Arial" w:hAnsi="Arial" w:cs="Arial"/>
          <w:sz w:val="22"/>
        </w:rPr>
        <w:t xml:space="preserve"> ve výši 85%</w:t>
      </w:r>
      <w:r w:rsidRPr="00620064">
        <w:rPr>
          <w:rFonts w:ascii="Arial" w:hAnsi="Arial" w:cs="Arial"/>
          <w:sz w:val="22"/>
        </w:rPr>
        <w:t>, je třeba stanovit</w:t>
      </w:r>
      <w:r w:rsidR="00DF7838" w:rsidRPr="00620064">
        <w:rPr>
          <w:rFonts w:ascii="Arial" w:hAnsi="Arial" w:cs="Arial"/>
          <w:sz w:val="22"/>
        </w:rPr>
        <w:t xml:space="preserve"> postup</w:t>
      </w:r>
      <w:r w:rsidRPr="00620064">
        <w:rPr>
          <w:rFonts w:ascii="Arial" w:hAnsi="Arial" w:cs="Arial"/>
          <w:sz w:val="22"/>
        </w:rPr>
        <w:t xml:space="preserve">, který bude při uplatňování sankcí krajem </w:t>
      </w:r>
      <w:r w:rsidR="00521F90" w:rsidRPr="00620064">
        <w:rPr>
          <w:rFonts w:ascii="Arial" w:hAnsi="Arial" w:cs="Arial"/>
          <w:sz w:val="22"/>
        </w:rPr>
        <w:t>realizován</w:t>
      </w:r>
      <w:r w:rsidRPr="00620064">
        <w:rPr>
          <w:rFonts w:ascii="Arial" w:hAnsi="Arial" w:cs="Arial"/>
          <w:sz w:val="22"/>
        </w:rPr>
        <w:t xml:space="preserve">. </w:t>
      </w:r>
      <w:r w:rsidR="00947243" w:rsidRPr="00620064">
        <w:rPr>
          <w:rFonts w:ascii="Arial" w:hAnsi="Arial" w:cs="Arial"/>
          <w:sz w:val="22"/>
        </w:rPr>
        <w:t xml:space="preserve">Je </w:t>
      </w:r>
      <w:r w:rsidR="00521F90" w:rsidRPr="00620064">
        <w:rPr>
          <w:rFonts w:ascii="Arial" w:hAnsi="Arial" w:cs="Arial"/>
          <w:sz w:val="22"/>
        </w:rPr>
        <w:t xml:space="preserve">také </w:t>
      </w:r>
      <w:r w:rsidR="00947243" w:rsidRPr="00620064">
        <w:rPr>
          <w:rFonts w:ascii="Arial" w:hAnsi="Arial" w:cs="Arial"/>
          <w:sz w:val="22"/>
        </w:rPr>
        <w:t xml:space="preserve">třeba počítat s možností žádosti dodavatele o prominutí sankce. </w:t>
      </w:r>
    </w:p>
    <w:p w:rsidR="00947243" w:rsidRPr="00620064" w:rsidRDefault="00947243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632673" w:rsidRPr="00620064" w:rsidRDefault="00947243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Postup A</w:t>
      </w:r>
    </w:p>
    <w:p w:rsidR="00E33CAA" w:rsidRPr="00620064" w:rsidRDefault="00E33CAA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 xml:space="preserve">Dodavateli, který vystavil fakturu na částku 7 243 000 Kč včetně DPH dle smlouvy, </w:t>
      </w:r>
      <w:r w:rsidR="00521F90" w:rsidRPr="00620064">
        <w:rPr>
          <w:rFonts w:ascii="Arial" w:hAnsi="Arial" w:cs="Arial"/>
          <w:sz w:val="22"/>
        </w:rPr>
        <w:t>zůstane</w:t>
      </w:r>
      <w:r w:rsidRPr="00620064">
        <w:rPr>
          <w:rFonts w:ascii="Arial" w:hAnsi="Arial" w:cs="Arial"/>
          <w:sz w:val="22"/>
        </w:rPr>
        <w:t xml:space="preserve"> uhrazena </w:t>
      </w:r>
      <w:r w:rsidR="00521F90" w:rsidRPr="00620064">
        <w:rPr>
          <w:rFonts w:ascii="Arial" w:hAnsi="Arial" w:cs="Arial"/>
          <w:sz w:val="22"/>
        </w:rPr>
        <w:t xml:space="preserve">jen </w:t>
      </w:r>
      <w:r w:rsidRPr="00620064">
        <w:rPr>
          <w:rFonts w:ascii="Arial" w:hAnsi="Arial" w:cs="Arial"/>
          <w:sz w:val="22"/>
        </w:rPr>
        <w:t xml:space="preserve">částka 4 559 468,50 Kč (ponížená o částku 2 683 531,50 Kč, což jsou úroky z prodlení </w:t>
      </w:r>
      <w:r w:rsidR="007F7797" w:rsidRPr="00620064">
        <w:rPr>
          <w:rFonts w:ascii="Arial" w:hAnsi="Arial" w:cs="Arial"/>
          <w:sz w:val="22"/>
        </w:rPr>
        <w:t>vypočtené jako</w:t>
      </w:r>
      <w:r w:rsidRPr="00620064">
        <w:rPr>
          <w:rFonts w:ascii="Arial" w:hAnsi="Arial" w:cs="Arial"/>
          <w:sz w:val="22"/>
        </w:rPr>
        <w:t xml:space="preserve"> rozdíl mezi dobou, kdy mělo být plněno dle smlouvy a dobou, kdy došlo ke skutečnému plnění). Tato částka bude uplatňována jako uznatelné náklady vůči poskytova</w:t>
      </w:r>
      <w:r w:rsidR="00E51BEE" w:rsidRPr="00620064">
        <w:rPr>
          <w:rFonts w:ascii="Arial" w:hAnsi="Arial" w:cs="Arial"/>
          <w:sz w:val="22"/>
        </w:rPr>
        <w:t>t</w:t>
      </w:r>
      <w:r w:rsidRPr="00620064">
        <w:rPr>
          <w:rFonts w:ascii="Arial" w:hAnsi="Arial" w:cs="Arial"/>
          <w:sz w:val="22"/>
        </w:rPr>
        <w:t>eli dotace (kraji bude poskytnuto z této částky 85</w:t>
      </w:r>
      <w:r w:rsidR="00F9474A" w:rsidRPr="00620064">
        <w:rPr>
          <w:rFonts w:ascii="Arial" w:hAnsi="Arial" w:cs="Arial"/>
          <w:sz w:val="22"/>
        </w:rPr>
        <w:t xml:space="preserve"> </w:t>
      </w:r>
      <w:r w:rsidRPr="00620064">
        <w:rPr>
          <w:rFonts w:ascii="Arial" w:hAnsi="Arial" w:cs="Arial"/>
          <w:sz w:val="22"/>
        </w:rPr>
        <w:t xml:space="preserve">%). Firma pak může vůči kraji </w:t>
      </w:r>
      <w:r w:rsidR="00521F90" w:rsidRPr="00620064">
        <w:rPr>
          <w:rFonts w:ascii="Arial" w:hAnsi="Arial" w:cs="Arial"/>
          <w:sz w:val="22"/>
        </w:rPr>
        <w:t xml:space="preserve">případně </w:t>
      </w:r>
      <w:r w:rsidRPr="00620064">
        <w:rPr>
          <w:rFonts w:ascii="Arial" w:hAnsi="Arial" w:cs="Arial"/>
          <w:sz w:val="22"/>
        </w:rPr>
        <w:t xml:space="preserve">uplatňovat </w:t>
      </w:r>
      <w:r w:rsidR="00E51BEE" w:rsidRPr="00620064">
        <w:rPr>
          <w:rFonts w:ascii="Arial" w:hAnsi="Arial" w:cs="Arial"/>
          <w:sz w:val="22"/>
        </w:rPr>
        <w:t xml:space="preserve">další částku, která bude odpovídat </w:t>
      </w:r>
      <w:r w:rsidR="00521F90" w:rsidRPr="00620064">
        <w:rPr>
          <w:rFonts w:ascii="Arial" w:hAnsi="Arial" w:cs="Arial"/>
          <w:sz w:val="22"/>
        </w:rPr>
        <w:t xml:space="preserve">např. </w:t>
      </w:r>
      <w:r w:rsidR="00E51BEE" w:rsidRPr="00620064">
        <w:rPr>
          <w:rFonts w:ascii="Arial" w:hAnsi="Arial" w:cs="Arial"/>
          <w:sz w:val="22"/>
        </w:rPr>
        <w:t xml:space="preserve">době prodlení, která nebyla způsobena okolnostmi na straně dodavatele. Tuto částku pak kraj </w:t>
      </w:r>
      <w:r w:rsidR="00AF0651" w:rsidRPr="00620064">
        <w:rPr>
          <w:rFonts w:ascii="Arial" w:hAnsi="Arial" w:cs="Arial"/>
          <w:sz w:val="22"/>
        </w:rPr>
        <w:t xml:space="preserve">v případě schválení příslušným orgánem kraje </w:t>
      </w:r>
      <w:r w:rsidR="00E51BEE" w:rsidRPr="00620064">
        <w:rPr>
          <w:rFonts w:ascii="Arial" w:hAnsi="Arial" w:cs="Arial"/>
          <w:sz w:val="22"/>
        </w:rPr>
        <w:t>u</w:t>
      </w:r>
      <w:r w:rsidR="001D42A2" w:rsidRPr="00620064">
        <w:rPr>
          <w:rFonts w:ascii="Arial" w:hAnsi="Arial" w:cs="Arial"/>
          <w:sz w:val="22"/>
        </w:rPr>
        <w:t>h</w:t>
      </w:r>
      <w:r w:rsidR="00E51BEE" w:rsidRPr="00620064">
        <w:rPr>
          <w:rFonts w:ascii="Arial" w:hAnsi="Arial" w:cs="Arial"/>
          <w:sz w:val="22"/>
        </w:rPr>
        <w:t>radí z vlastních prostředků b</w:t>
      </w:r>
      <w:r w:rsidR="00521F90" w:rsidRPr="00620064">
        <w:rPr>
          <w:rFonts w:ascii="Arial" w:hAnsi="Arial" w:cs="Arial"/>
          <w:sz w:val="22"/>
        </w:rPr>
        <w:t>ez účasti strukturálních fondů, protože nedojde k jejímu proplacení v příslušné etapě, která končí do konce roku 2013.</w:t>
      </w:r>
    </w:p>
    <w:p w:rsidR="00E51BEE" w:rsidRPr="00620064" w:rsidRDefault="00E51BEE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E51BEE" w:rsidRPr="00620064" w:rsidRDefault="00E51BEE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Postup B</w:t>
      </w:r>
    </w:p>
    <w:p w:rsidR="00B443EE" w:rsidRPr="00620064" w:rsidRDefault="00DF7838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Dodavateli bude</w:t>
      </w:r>
      <w:r w:rsidR="00E51BEE" w:rsidRPr="00620064">
        <w:rPr>
          <w:rFonts w:ascii="Arial" w:hAnsi="Arial" w:cs="Arial"/>
          <w:sz w:val="22"/>
        </w:rPr>
        <w:t xml:space="preserve"> uhrazena celá fakturovaná částka bez započtení úroku z prodlení, tedy 7 243 000 Kč včetně DPH. </w:t>
      </w:r>
      <w:r w:rsidR="00E175D0" w:rsidRPr="00620064">
        <w:rPr>
          <w:rFonts w:ascii="Arial" w:hAnsi="Arial" w:cs="Arial"/>
          <w:sz w:val="22"/>
        </w:rPr>
        <w:t xml:space="preserve">Zároveň bude vypočten úrok z prodlení, na nějž bude vystavena krajem faktura. V rámci projektu bude uplatňována celá částka </w:t>
      </w:r>
      <w:r w:rsidR="00521F90" w:rsidRPr="00620064">
        <w:rPr>
          <w:rFonts w:ascii="Arial" w:hAnsi="Arial" w:cs="Arial"/>
          <w:sz w:val="22"/>
        </w:rPr>
        <w:t>vůči dotaci</w:t>
      </w:r>
      <w:r w:rsidR="00E175D0" w:rsidRPr="00620064">
        <w:rPr>
          <w:rFonts w:ascii="Arial" w:hAnsi="Arial" w:cs="Arial"/>
          <w:sz w:val="22"/>
        </w:rPr>
        <w:t>, přičemž pokud bude vymožena úhrada úroku z prodlení, bude tato částka</w:t>
      </w:r>
      <w:r w:rsidR="00620064">
        <w:rPr>
          <w:rFonts w:ascii="Arial" w:hAnsi="Arial" w:cs="Arial"/>
          <w:sz w:val="22"/>
        </w:rPr>
        <w:t xml:space="preserve"> uvedena jako příjem projektu a </w:t>
      </w:r>
      <w:r w:rsidR="00E175D0" w:rsidRPr="00620064">
        <w:rPr>
          <w:rFonts w:ascii="Arial" w:hAnsi="Arial" w:cs="Arial"/>
          <w:sz w:val="22"/>
        </w:rPr>
        <w:t xml:space="preserve">může být řídícím orgánem požadováno její odvedení do </w:t>
      </w:r>
      <w:r w:rsidR="00E408D8" w:rsidRPr="00620064">
        <w:rPr>
          <w:rFonts w:ascii="Arial" w:hAnsi="Arial" w:cs="Arial"/>
          <w:sz w:val="22"/>
        </w:rPr>
        <w:t>rozpočtu příslušného OP</w:t>
      </w:r>
      <w:r w:rsidR="00E175D0" w:rsidRPr="00620064">
        <w:rPr>
          <w:rFonts w:ascii="Arial" w:hAnsi="Arial" w:cs="Arial"/>
          <w:sz w:val="22"/>
        </w:rPr>
        <w:t xml:space="preserve">. </w:t>
      </w:r>
      <w:r w:rsidR="00947243" w:rsidRPr="00620064">
        <w:rPr>
          <w:rFonts w:ascii="Arial" w:hAnsi="Arial" w:cs="Arial"/>
          <w:sz w:val="22"/>
        </w:rPr>
        <w:t xml:space="preserve">Rizikem tohoto postupu je možnost nezaplacení sankce dodavatelem. Zde by potom došlo </w:t>
      </w:r>
      <w:r w:rsidR="00947243" w:rsidRPr="00620064">
        <w:rPr>
          <w:rFonts w:ascii="Arial" w:hAnsi="Arial" w:cs="Arial"/>
          <w:sz w:val="22"/>
        </w:rPr>
        <w:lastRenderedPageBreak/>
        <w:t xml:space="preserve">k soudnímu vymáhání sankce. A v případě že by dodavatel požádal o prominutí sankce (celé nebo její části) a </w:t>
      </w:r>
      <w:r w:rsidR="00190B91" w:rsidRPr="00620064">
        <w:rPr>
          <w:rFonts w:ascii="Arial" w:hAnsi="Arial" w:cs="Arial"/>
          <w:sz w:val="22"/>
        </w:rPr>
        <w:t>příslušný orgán kraje</w:t>
      </w:r>
      <w:r w:rsidR="00947243" w:rsidRPr="00620064">
        <w:rPr>
          <w:rFonts w:ascii="Arial" w:hAnsi="Arial" w:cs="Arial"/>
          <w:sz w:val="22"/>
        </w:rPr>
        <w:t xml:space="preserve"> by rozhodl o prominutí, tak je částka prominuté sankce nákladem Kraje Vysočina.</w:t>
      </w:r>
      <w:r w:rsidR="00E175D0" w:rsidRPr="00620064">
        <w:rPr>
          <w:rFonts w:ascii="Arial" w:hAnsi="Arial" w:cs="Arial"/>
          <w:sz w:val="22"/>
        </w:rPr>
        <w:t xml:space="preserve"> V tomto případě se může stát, že řídící orgán bude po kraji požadovat snížení </w:t>
      </w:r>
      <w:r w:rsidR="00936DBB" w:rsidRPr="00620064">
        <w:rPr>
          <w:rFonts w:ascii="Arial" w:hAnsi="Arial" w:cs="Arial"/>
          <w:sz w:val="22"/>
        </w:rPr>
        <w:t xml:space="preserve">uznatelných nákladů o příjem projektu, kterým jsou i sankce uplatněné vůči dodavatelům. Postup řídícího orgánu však nelze plně předvídat, každá dotace je posuzována individuálně s ohledem na to, zda příjemce dotace vynaložil veškeré úsilí směřující k vymožení smluvních sankcí. </w:t>
      </w:r>
    </w:p>
    <w:p w:rsidR="00936DBB" w:rsidRPr="00620064" w:rsidRDefault="00936DBB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Ve vztahu ke konkrétní smlouvě pak b</w:t>
      </w:r>
      <w:r w:rsidR="001D42A2" w:rsidRPr="00620064">
        <w:rPr>
          <w:rFonts w:ascii="Arial" w:hAnsi="Arial" w:cs="Arial"/>
          <w:sz w:val="22"/>
        </w:rPr>
        <w:t>u</w:t>
      </w:r>
      <w:r w:rsidRPr="00620064">
        <w:rPr>
          <w:rFonts w:ascii="Arial" w:hAnsi="Arial" w:cs="Arial"/>
          <w:sz w:val="22"/>
        </w:rPr>
        <w:t>de zvolen následující postup: dodavateli bude uhrazena zbývající část fakturované částky ve výši 2 683 531,50 Kč a zároveň bude dodavateli vystavena faktura na úhradu sankcí vyplývajícíc</w:t>
      </w:r>
      <w:r w:rsidR="001D42A2" w:rsidRPr="00620064">
        <w:rPr>
          <w:rFonts w:ascii="Arial" w:hAnsi="Arial" w:cs="Arial"/>
          <w:sz w:val="22"/>
        </w:rPr>
        <w:t>h z Kupní smlouvy ze dne 11. 4. </w:t>
      </w:r>
      <w:r w:rsidRPr="00620064">
        <w:rPr>
          <w:rFonts w:ascii="Arial" w:hAnsi="Arial" w:cs="Arial"/>
          <w:sz w:val="22"/>
        </w:rPr>
        <w:t>2011, a to na částku ve stejné výši 2 683 531,50 Kč. V monitorovací zprávě k projektu financovaného z IOP pak bude celá výše fakturované částky (tzn. 7 243 000 Kč) vykázána jako způsobilý náklad projektu. Kontrolní orgán</w:t>
      </w:r>
      <w:r w:rsidR="007D55AB" w:rsidRPr="00620064">
        <w:rPr>
          <w:rFonts w:ascii="Arial" w:hAnsi="Arial" w:cs="Arial"/>
          <w:sz w:val="22"/>
        </w:rPr>
        <w:t xml:space="preserve">, zprostředkující subjekt popř. řídící orgán </w:t>
      </w:r>
      <w:r w:rsidRPr="00620064">
        <w:rPr>
          <w:rFonts w:ascii="Arial" w:hAnsi="Arial" w:cs="Arial"/>
          <w:sz w:val="22"/>
        </w:rPr>
        <w:t xml:space="preserve">poté rozhodne o proplacení způsobilých nákladů. Je tedy možné, že nárokovaná částka bude ponížena o výši sankce, kterou kraj uplatňuje po dodavateli. </w:t>
      </w:r>
    </w:p>
    <w:p w:rsidR="00354295" w:rsidRPr="00620064" w:rsidRDefault="00354295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B0D6D" w:rsidRPr="00620064" w:rsidRDefault="002B0D6D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Návrh řešení, zdůvodnění:</w:t>
      </w:r>
    </w:p>
    <w:p w:rsidR="00620064" w:rsidRDefault="00620064" w:rsidP="00620064">
      <w:pPr>
        <w:pStyle w:val="Zkladntext"/>
      </w:pPr>
    </w:p>
    <w:p w:rsidR="002B0D6D" w:rsidRPr="00620064" w:rsidRDefault="002B0D6D" w:rsidP="00620064">
      <w:pPr>
        <w:pStyle w:val="Zkladntext"/>
        <w:rPr>
          <w:bCs/>
        </w:rPr>
      </w:pPr>
      <w:r w:rsidRPr="00620064">
        <w:t xml:space="preserve">Odbor informatiky navrhuje Radě kraje Vysočina </w:t>
      </w:r>
      <w:r w:rsidR="00D62DC6" w:rsidRPr="00620064">
        <w:t>vybrat z postupu A nebo postupu B pro uplatnění sankcí vyplývajících z Kupních smluv ze dne 11. 4. 2011 (</w:t>
      </w:r>
      <w:r w:rsidR="00D62DC6" w:rsidRPr="00620064">
        <w:rPr>
          <w:bCs/>
        </w:rPr>
        <w:t>ID smluv 52860, 52868, 52870).</w:t>
      </w:r>
    </w:p>
    <w:p w:rsidR="001F1370" w:rsidRPr="00620064" w:rsidRDefault="001F1370" w:rsidP="00620064">
      <w:pPr>
        <w:jc w:val="both"/>
        <w:rPr>
          <w:rFonts w:ascii="Arial" w:hAnsi="Arial" w:cs="Arial"/>
          <w:sz w:val="22"/>
          <w:szCs w:val="22"/>
        </w:rPr>
      </w:pPr>
      <w:r w:rsidRPr="00620064">
        <w:rPr>
          <w:rFonts w:ascii="Arial" w:hAnsi="Arial" w:cs="Arial"/>
          <w:sz w:val="22"/>
          <w:szCs w:val="22"/>
        </w:rPr>
        <w:t xml:space="preserve">Dle ustanovení § 59 odst. 3 zákona č. 129/2000 Sb., o krajích (krajské zřízení), ve znění pozdějších předpisů, rada kraje zabezpečuje rozhodování v ostatních záležitostech patřících do samostatné působnosti kraje, pokud nejsou vyhrazeny zastupitelstvu nebo pokud si je zastupitelstvo nevyhradilo. </w:t>
      </w:r>
    </w:p>
    <w:p w:rsidR="001F1370" w:rsidRPr="00620064" w:rsidRDefault="001F1370" w:rsidP="00620064">
      <w:pPr>
        <w:jc w:val="both"/>
      </w:pPr>
    </w:p>
    <w:p w:rsidR="00291244" w:rsidRPr="00620064" w:rsidRDefault="00291244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Stanoviska:</w:t>
      </w:r>
    </w:p>
    <w:p w:rsidR="00620064" w:rsidRDefault="00620064" w:rsidP="00620064">
      <w:pPr>
        <w:jc w:val="both"/>
        <w:rPr>
          <w:rFonts w:ascii="Arial" w:hAnsi="Arial" w:cs="Arial"/>
          <w:sz w:val="22"/>
        </w:rPr>
      </w:pPr>
    </w:p>
    <w:p w:rsidR="00B355E1" w:rsidRPr="00620064" w:rsidRDefault="00B355E1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Ekonomický odbor:</w:t>
      </w:r>
    </w:p>
    <w:p w:rsidR="007F7797" w:rsidRPr="00620064" w:rsidRDefault="007F7797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>Na základě zkušeností kraje lze s pravděpodobností blížící se jistotě předpokládat, že řídící orgán bude trvat na splnění smluvní povinnosti kraje a o výši sankce poníží nárokovanou částku. Smluvní ujednání nás zavazuje ve vztahu k poskytnutým prostředkům uplatňovat sankci a ta je vždy příjmem projektu. Z důvodu eliminace rizik, které by mohly vzniknout při vypořádání projektu nebo pří následných kontrolách, ekonomický odbor doporučuje postupovat podle varianty A.</w:t>
      </w:r>
    </w:p>
    <w:p w:rsidR="000E09A1" w:rsidRPr="00620064" w:rsidRDefault="000E09A1" w:rsidP="00620064">
      <w:pPr>
        <w:jc w:val="both"/>
        <w:rPr>
          <w:rFonts w:ascii="Arial" w:hAnsi="Arial" w:cs="Arial"/>
          <w:b/>
          <w:bCs/>
          <w:sz w:val="22"/>
        </w:rPr>
      </w:pPr>
    </w:p>
    <w:p w:rsidR="00291244" w:rsidRPr="00620064" w:rsidRDefault="00291244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Návrh usnesení:</w:t>
      </w:r>
    </w:p>
    <w:p w:rsidR="00620064" w:rsidRDefault="00620064" w:rsidP="00620064">
      <w:pPr>
        <w:jc w:val="both"/>
        <w:rPr>
          <w:rFonts w:ascii="Arial" w:hAnsi="Arial" w:cs="Arial"/>
          <w:b/>
          <w:bCs/>
          <w:sz w:val="22"/>
        </w:rPr>
      </w:pPr>
    </w:p>
    <w:p w:rsidR="00291244" w:rsidRPr="00620064" w:rsidRDefault="00291244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Rada kraje</w:t>
      </w:r>
    </w:p>
    <w:p w:rsidR="00632673" w:rsidRPr="00620064" w:rsidRDefault="00BE186A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r</w:t>
      </w:r>
      <w:r w:rsidR="00E2744B" w:rsidRPr="00620064">
        <w:rPr>
          <w:rFonts w:ascii="Arial" w:hAnsi="Arial" w:cs="Arial"/>
          <w:b/>
          <w:bCs/>
          <w:sz w:val="22"/>
        </w:rPr>
        <w:t>ozhoduje</w:t>
      </w:r>
    </w:p>
    <w:p w:rsidR="00E50FF5" w:rsidRPr="00620064" w:rsidRDefault="00E50FF5" w:rsidP="00620064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620064">
        <w:rPr>
          <w:rFonts w:ascii="Arial" w:hAnsi="Arial" w:cs="Arial"/>
          <w:b/>
          <w:bCs/>
          <w:sz w:val="22"/>
          <w:u w:val="single"/>
        </w:rPr>
        <w:t>Varianta I</w:t>
      </w:r>
    </w:p>
    <w:p w:rsidR="00E2744B" w:rsidRPr="00620064" w:rsidRDefault="00726688" w:rsidP="00620064">
      <w:pPr>
        <w:jc w:val="both"/>
        <w:rPr>
          <w:rFonts w:ascii="Arial" w:hAnsi="Arial" w:cs="Arial"/>
          <w:bCs/>
          <w:sz w:val="22"/>
        </w:rPr>
      </w:pPr>
      <w:r w:rsidRPr="00620064">
        <w:rPr>
          <w:rFonts w:ascii="Arial" w:hAnsi="Arial" w:cs="Arial"/>
          <w:bCs/>
          <w:sz w:val="22"/>
        </w:rPr>
        <w:t>p</w:t>
      </w:r>
      <w:r w:rsidR="00E2744B" w:rsidRPr="00620064">
        <w:rPr>
          <w:rFonts w:ascii="Arial" w:hAnsi="Arial" w:cs="Arial"/>
          <w:bCs/>
          <w:sz w:val="22"/>
        </w:rPr>
        <w:t>ostupovat podle varianty</w:t>
      </w:r>
      <w:r w:rsidRPr="00620064">
        <w:rPr>
          <w:rFonts w:ascii="Arial" w:hAnsi="Arial" w:cs="Arial"/>
          <w:bCs/>
          <w:sz w:val="22"/>
        </w:rPr>
        <w:t>/postupu</w:t>
      </w:r>
      <w:r w:rsidR="00E2744B" w:rsidRPr="00620064">
        <w:rPr>
          <w:rFonts w:ascii="Arial" w:hAnsi="Arial" w:cs="Arial"/>
          <w:bCs/>
          <w:sz w:val="22"/>
        </w:rPr>
        <w:t xml:space="preserve"> </w:t>
      </w:r>
      <w:r w:rsidRPr="00620064">
        <w:rPr>
          <w:rFonts w:ascii="Arial" w:hAnsi="Arial" w:cs="Arial"/>
          <w:bCs/>
          <w:sz w:val="22"/>
        </w:rPr>
        <w:t xml:space="preserve">A </w:t>
      </w:r>
      <w:r w:rsidR="00D70631" w:rsidRPr="00620064">
        <w:rPr>
          <w:rFonts w:ascii="Arial" w:hAnsi="Arial" w:cs="Arial"/>
          <w:bCs/>
          <w:sz w:val="22"/>
        </w:rPr>
        <w:t xml:space="preserve">dle materiálu </w:t>
      </w:r>
      <w:r w:rsidR="00D70631" w:rsidRPr="00620064">
        <w:rPr>
          <w:rFonts w:ascii="Arial" w:hAnsi="Arial" w:cs="Arial"/>
          <w:sz w:val="22"/>
        </w:rPr>
        <w:t>RK-39-2013-</w:t>
      </w:r>
      <w:r w:rsidR="00620064">
        <w:rPr>
          <w:rFonts w:ascii="Arial" w:hAnsi="Arial" w:cs="Arial"/>
          <w:sz w:val="22"/>
        </w:rPr>
        <w:t>21</w:t>
      </w:r>
      <w:r w:rsidR="00620064">
        <w:rPr>
          <w:rFonts w:ascii="Arial" w:hAnsi="Arial" w:cs="Arial"/>
          <w:bCs/>
          <w:sz w:val="22"/>
        </w:rPr>
        <w:t xml:space="preserve"> </w:t>
      </w:r>
      <w:r w:rsidRPr="00620064">
        <w:rPr>
          <w:rFonts w:ascii="Arial" w:hAnsi="Arial" w:cs="Arial"/>
          <w:bCs/>
          <w:sz w:val="22"/>
        </w:rPr>
        <w:t>pro uplatnění sankcí vyplývajících se smluv (</w:t>
      </w:r>
      <w:r w:rsidR="00DF3C36" w:rsidRPr="00620064">
        <w:rPr>
          <w:rFonts w:ascii="Arial" w:hAnsi="Arial" w:cs="Arial"/>
          <w:bCs/>
          <w:sz w:val="22"/>
        </w:rPr>
        <w:t>Kupní smlouvy</w:t>
      </w:r>
      <w:r w:rsidR="001D7A50" w:rsidRPr="00620064">
        <w:rPr>
          <w:rFonts w:ascii="Arial" w:hAnsi="Arial" w:cs="Arial"/>
          <w:bCs/>
          <w:sz w:val="22"/>
        </w:rPr>
        <w:t xml:space="preserve"> ze dne</w:t>
      </w:r>
      <w:r w:rsidR="00DF3C36" w:rsidRPr="00620064">
        <w:rPr>
          <w:rFonts w:ascii="Arial" w:hAnsi="Arial" w:cs="Arial"/>
          <w:bCs/>
          <w:sz w:val="22"/>
        </w:rPr>
        <w:t xml:space="preserve"> 11. 4. 2011, ID smluv 52860, 52868, 52870</w:t>
      </w:r>
      <w:r w:rsidRPr="00620064">
        <w:rPr>
          <w:rFonts w:ascii="Arial" w:hAnsi="Arial" w:cs="Arial"/>
          <w:bCs/>
          <w:sz w:val="22"/>
        </w:rPr>
        <w:t>), která má Kraj Vysočina uzavřeny s dodavatelem První tel</w:t>
      </w:r>
      <w:r w:rsidR="00620064">
        <w:rPr>
          <w:rFonts w:ascii="Arial" w:hAnsi="Arial" w:cs="Arial"/>
          <w:bCs/>
          <w:sz w:val="22"/>
        </w:rPr>
        <w:t>efonní společnost s. r. o., IČO </w:t>
      </w:r>
      <w:r w:rsidRPr="00620064">
        <w:rPr>
          <w:rFonts w:ascii="Arial" w:hAnsi="Arial" w:cs="Arial"/>
          <w:bCs/>
          <w:sz w:val="22"/>
        </w:rPr>
        <w:t xml:space="preserve">18198872, za účelem realizace optických </w:t>
      </w:r>
      <w:r w:rsidR="00620064">
        <w:rPr>
          <w:rFonts w:ascii="Arial" w:hAnsi="Arial" w:cs="Arial"/>
          <w:bCs/>
          <w:sz w:val="22"/>
        </w:rPr>
        <w:t xml:space="preserve">tras: </w:t>
      </w:r>
      <w:r w:rsidRPr="00620064">
        <w:rPr>
          <w:rFonts w:ascii="Arial" w:hAnsi="Arial" w:cs="Arial"/>
          <w:bCs/>
          <w:sz w:val="22"/>
        </w:rPr>
        <w:t>Chotěboř – Havlíčkův Brod, Třebíč – Velké Meziříčí, Světlá nad Sázavou – Havlíčkův Brod</w:t>
      </w:r>
      <w:r w:rsidR="00620064">
        <w:rPr>
          <w:rFonts w:ascii="Arial" w:hAnsi="Arial" w:cs="Arial"/>
          <w:bCs/>
          <w:sz w:val="22"/>
        </w:rPr>
        <w:t>.</w:t>
      </w:r>
    </w:p>
    <w:p w:rsidR="00E50FF5" w:rsidRPr="00620064" w:rsidRDefault="00E50FF5" w:rsidP="00620064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620064">
        <w:rPr>
          <w:rFonts w:ascii="Arial" w:hAnsi="Arial" w:cs="Arial"/>
          <w:b/>
          <w:bCs/>
          <w:sz w:val="22"/>
          <w:u w:val="single"/>
        </w:rPr>
        <w:t xml:space="preserve">Varianta II </w:t>
      </w:r>
    </w:p>
    <w:p w:rsidR="00632673" w:rsidRPr="00620064" w:rsidRDefault="00DF3C36" w:rsidP="00620064">
      <w:pPr>
        <w:pStyle w:val="Nadpis4"/>
        <w:jc w:val="both"/>
        <w:rPr>
          <w:rFonts w:ascii="Arial" w:hAnsi="Arial" w:cs="Arial"/>
          <w:bCs w:val="0"/>
          <w:sz w:val="22"/>
        </w:rPr>
      </w:pPr>
      <w:r w:rsidRPr="00620064">
        <w:rPr>
          <w:rFonts w:ascii="Arial" w:hAnsi="Arial" w:cs="Arial"/>
          <w:b w:val="0"/>
          <w:sz w:val="22"/>
        </w:rPr>
        <w:t xml:space="preserve">postupovat podle varianty/postupu B </w:t>
      </w:r>
      <w:r w:rsidR="00E50FF5" w:rsidRPr="00620064">
        <w:rPr>
          <w:rFonts w:ascii="Arial" w:hAnsi="Arial" w:cs="Arial"/>
          <w:b w:val="0"/>
          <w:bCs w:val="0"/>
          <w:sz w:val="22"/>
        </w:rPr>
        <w:t>dle materiálu RK-39-2013-</w:t>
      </w:r>
      <w:r w:rsidR="00620064">
        <w:rPr>
          <w:rFonts w:ascii="Arial" w:hAnsi="Arial" w:cs="Arial"/>
          <w:b w:val="0"/>
          <w:bCs w:val="0"/>
          <w:sz w:val="22"/>
        </w:rPr>
        <w:t>21</w:t>
      </w:r>
      <w:r w:rsidR="00E50FF5" w:rsidRPr="00620064">
        <w:rPr>
          <w:rFonts w:ascii="Arial" w:hAnsi="Arial" w:cs="Arial"/>
          <w:b w:val="0"/>
          <w:bCs w:val="0"/>
          <w:sz w:val="22"/>
        </w:rPr>
        <w:t xml:space="preserve"> </w:t>
      </w:r>
      <w:r w:rsidRPr="00620064">
        <w:rPr>
          <w:rFonts w:ascii="Arial" w:hAnsi="Arial" w:cs="Arial"/>
          <w:b w:val="0"/>
          <w:sz w:val="22"/>
        </w:rPr>
        <w:t>pro uplatnění sankcí vyplývajících se smluv (Kupní smlouvy ze dne 11. 4. 2011, ID smluv 52860, 52868, 52870), která má Kraj Vysočina uzavřeny s dodavatelem První tel</w:t>
      </w:r>
      <w:r w:rsidR="00620064">
        <w:rPr>
          <w:rFonts w:ascii="Arial" w:hAnsi="Arial" w:cs="Arial"/>
          <w:b w:val="0"/>
          <w:sz w:val="22"/>
        </w:rPr>
        <w:t>efonní společnost s. r. o., IČO </w:t>
      </w:r>
      <w:r w:rsidRPr="00620064">
        <w:rPr>
          <w:rFonts w:ascii="Arial" w:hAnsi="Arial" w:cs="Arial"/>
          <w:b w:val="0"/>
          <w:sz w:val="22"/>
        </w:rPr>
        <w:t>18198872, za úč</w:t>
      </w:r>
      <w:r w:rsidR="00620064">
        <w:rPr>
          <w:rFonts w:ascii="Arial" w:hAnsi="Arial" w:cs="Arial"/>
          <w:b w:val="0"/>
          <w:sz w:val="22"/>
        </w:rPr>
        <w:t xml:space="preserve">elem realizace optických tras: </w:t>
      </w:r>
      <w:r w:rsidRPr="00620064">
        <w:rPr>
          <w:rFonts w:ascii="Arial" w:hAnsi="Arial" w:cs="Arial"/>
          <w:b w:val="0"/>
          <w:sz w:val="22"/>
        </w:rPr>
        <w:t>Chotěboř – Havlíčkův Brod, Třebíč – Velké Meziříčí, Světlá nad Sázavou – Havlíčkův Brod</w:t>
      </w:r>
      <w:r w:rsidR="00726688" w:rsidRPr="00620064">
        <w:rPr>
          <w:rFonts w:ascii="Arial" w:hAnsi="Arial" w:cs="Arial"/>
          <w:b w:val="0"/>
          <w:sz w:val="22"/>
        </w:rPr>
        <w:t>.</w:t>
      </w:r>
    </w:p>
    <w:p w:rsidR="00B443EE" w:rsidRPr="00620064" w:rsidRDefault="00B443EE" w:rsidP="00620064">
      <w:pPr>
        <w:jc w:val="both"/>
        <w:rPr>
          <w:rFonts w:ascii="Arial" w:hAnsi="Arial" w:cs="Arial"/>
          <w:b/>
          <w:bCs/>
          <w:sz w:val="22"/>
        </w:rPr>
      </w:pPr>
    </w:p>
    <w:p w:rsidR="00291244" w:rsidRPr="00620064" w:rsidRDefault="00291244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b/>
          <w:bCs/>
          <w:sz w:val="22"/>
        </w:rPr>
        <w:t xml:space="preserve">odpovědnost: </w:t>
      </w:r>
      <w:r w:rsidRPr="00620064">
        <w:rPr>
          <w:rFonts w:ascii="Arial" w:hAnsi="Arial" w:cs="Arial"/>
          <w:sz w:val="22"/>
        </w:rPr>
        <w:t>odbor informatiky</w:t>
      </w:r>
      <w:r w:rsidR="00DC30C9" w:rsidRPr="00620064">
        <w:rPr>
          <w:rFonts w:ascii="Arial" w:hAnsi="Arial" w:cs="Arial"/>
          <w:sz w:val="22"/>
        </w:rPr>
        <w:t>, odbor ekonomický</w:t>
      </w:r>
    </w:p>
    <w:p w:rsidR="00291244" w:rsidRPr="00620064" w:rsidRDefault="00291244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b/>
          <w:bCs/>
          <w:sz w:val="22"/>
        </w:rPr>
        <w:t xml:space="preserve">termín: </w:t>
      </w:r>
      <w:r w:rsidR="00632673" w:rsidRPr="00620064">
        <w:rPr>
          <w:rFonts w:ascii="Arial" w:hAnsi="Arial" w:cs="Arial"/>
          <w:sz w:val="22"/>
        </w:rPr>
        <w:t>12. 12. 2013</w:t>
      </w:r>
    </w:p>
    <w:sectPr w:rsidR="00291244" w:rsidRPr="00620064" w:rsidSect="0062006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14" w:rsidRDefault="00445B14">
      <w:r>
        <w:separator/>
      </w:r>
    </w:p>
  </w:endnote>
  <w:endnote w:type="continuationSeparator" w:id="0">
    <w:p w:rsidR="00445B14" w:rsidRDefault="0044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4" w:rsidRDefault="002912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1244" w:rsidRDefault="002912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4" w:rsidRDefault="00291244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BB25A1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291244" w:rsidRDefault="00291244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</w:rPr>
      <w:t>OI</w:t>
    </w:r>
    <w:r w:rsidR="00961370">
      <w:rPr>
        <w:rFonts w:ascii="Arial" w:hAnsi="Arial" w:cs="Arial"/>
        <w:sz w:val="18"/>
      </w:rPr>
      <w:t>, OE</w:t>
    </w:r>
  </w:p>
  <w:p w:rsidR="00291244" w:rsidRDefault="00291244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202812">
      <w:rPr>
        <w:rFonts w:ascii="Arial" w:hAnsi="Arial" w:cs="Arial"/>
        <w:sz w:val="18"/>
      </w:rPr>
      <w:t>12. 12. 2013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14" w:rsidRDefault="00445B14">
      <w:r>
        <w:separator/>
      </w:r>
    </w:p>
  </w:footnote>
  <w:footnote w:type="continuationSeparator" w:id="0">
    <w:p w:rsidR="00445B14" w:rsidRDefault="0044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E7"/>
    <w:multiLevelType w:val="hybridMultilevel"/>
    <w:tmpl w:val="A90E0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2F7"/>
    <w:multiLevelType w:val="hybridMultilevel"/>
    <w:tmpl w:val="17F8E736"/>
    <w:lvl w:ilvl="0" w:tplc="7CD6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4C1201"/>
    <w:multiLevelType w:val="hybridMultilevel"/>
    <w:tmpl w:val="84DED14A"/>
    <w:lvl w:ilvl="0" w:tplc="A36E5B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07A29"/>
    <w:multiLevelType w:val="hybridMultilevel"/>
    <w:tmpl w:val="AF70CB96"/>
    <w:lvl w:ilvl="0" w:tplc="EBB292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B68A9"/>
    <w:multiLevelType w:val="hybridMultilevel"/>
    <w:tmpl w:val="CD4A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AC3"/>
    <w:multiLevelType w:val="hybridMultilevel"/>
    <w:tmpl w:val="85DCAF10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84099"/>
    <w:multiLevelType w:val="hybridMultilevel"/>
    <w:tmpl w:val="E9D2C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575F"/>
    <w:multiLevelType w:val="hybridMultilevel"/>
    <w:tmpl w:val="52724C5A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6418A"/>
    <w:multiLevelType w:val="hybridMultilevel"/>
    <w:tmpl w:val="298A1EFE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15BB5"/>
    <w:rsid w:val="00015F59"/>
    <w:rsid w:val="00022777"/>
    <w:rsid w:val="0005761D"/>
    <w:rsid w:val="00057933"/>
    <w:rsid w:val="00073471"/>
    <w:rsid w:val="00081CC6"/>
    <w:rsid w:val="00093777"/>
    <w:rsid w:val="0009536C"/>
    <w:rsid w:val="00096213"/>
    <w:rsid w:val="000B6E37"/>
    <w:rsid w:val="000D5A54"/>
    <w:rsid w:val="000E09A1"/>
    <w:rsid w:val="000E6D39"/>
    <w:rsid w:val="000E7965"/>
    <w:rsid w:val="00106B93"/>
    <w:rsid w:val="0011034D"/>
    <w:rsid w:val="00115537"/>
    <w:rsid w:val="00130780"/>
    <w:rsid w:val="00152C5A"/>
    <w:rsid w:val="0018054F"/>
    <w:rsid w:val="001866E5"/>
    <w:rsid w:val="0019023E"/>
    <w:rsid w:val="00190B91"/>
    <w:rsid w:val="001B0D6D"/>
    <w:rsid w:val="001C4156"/>
    <w:rsid w:val="001D42A2"/>
    <w:rsid w:val="001D7A50"/>
    <w:rsid w:val="001E386D"/>
    <w:rsid w:val="001E489C"/>
    <w:rsid w:val="001F1370"/>
    <w:rsid w:val="001F32D0"/>
    <w:rsid w:val="001F5EE9"/>
    <w:rsid w:val="00202812"/>
    <w:rsid w:val="00210E5A"/>
    <w:rsid w:val="002122E2"/>
    <w:rsid w:val="00214F6D"/>
    <w:rsid w:val="00215823"/>
    <w:rsid w:val="00235C8A"/>
    <w:rsid w:val="00254671"/>
    <w:rsid w:val="0025492E"/>
    <w:rsid w:val="00264712"/>
    <w:rsid w:val="00266842"/>
    <w:rsid w:val="0026736E"/>
    <w:rsid w:val="002702F9"/>
    <w:rsid w:val="00291244"/>
    <w:rsid w:val="002A6DBC"/>
    <w:rsid w:val="002B0D6D"/>
    <w:rsid w:val="00302478"/>
    <w:rsid w:val="003162C2"/>
    <w:rsid w:val="003250FD"/>
    <w:rsid w:val="003263D9"/>
    <w:rsid w:val="00326A75"/>
    <w:rsid w:val="003364D8"/>
    <w:rsid w:val="00337133"/>
    <w:rsid w:val="00354295"/>
    <w:rsid w:val="00354D17"/>
    <w:rsid w:val="00361281"/>
    <w:rsid w:val="003875B5"/>
    <w:rsid w:val="003968B2"/>
    <w:rsid w:val="003F23EC"/>
    <w:rsid w:val="003F6F6E"/>
    <w:rsid w:val="00420336"/>
    <w:rsid w:val="00426CD6"/>
    <w:rsid w:val="004317A1"/>
    <w:rsid w:val="00442BAD"/>
    <w:rsid w:val="0044302F"/>
    <w:rsid w:val="00443661"/>
    <w:rsid w:val="00445B14"/>
    <w:rsid w:val="00450667"/>
    <w:rsid w:val="00453457"/>
    <w:rsid w:val="00457102"/>
    <w:rsid w:val="00487138"/>
    <w:rsid w:val="004A7629"/>
    <w:rsid w:val="004B3A4E"/>
    <w:rsid w:val="004C0E11"/>
    <w:rsid w:val="004F4C22"/>
    <w:rsid w:val="004F4D76"/>
    <w:rsid w:val="005039A0"/>
    <w:rsid w:val="0051092E"/>
    <w:rsid w:val="00510DE8"/>
    <w:rsid w:val="00515217"/>
    <w:rsid w:val="00521F90"/>
    <w:rsid w:val="00522408"/>
    <w:rsid w:val="0052263D"/>
    <w:rsid w:val="00557C79"/>
    <w:rsid w:val="00557CE1"/>
    <w:rsid w:val="00562851"/>
    <w:rsid w:val="00562A0C"/>
    <w:rsid w:val="00572C50"/>
    <w:rsid w:val="00580964"/>
    <w:rsid w:val="005A4C14"/>
    <w:rsid w:val="005A6270"/>
    <w:rsid w:val="005B68E0"/>
    <w:rsid w:val="005C3AF0"/>
    <w:rsid w:val="005D4E49"/>
    <w:rsid w:val="005E7343"/>
    <w:rsid w:val="005F47FE"/>
    <w:rsid w:val="005F79FD"/>
    <w:rsid w:val="00600DE2"/>
    <w:rsid w:val="006143F3"/>
    <w:rsid w:val="00620064"/>
    <w:rsid w:val="00620823"/>
    <w:rsid w:val="00632673"/>
    <w:rsid w:val="00663485"/>
    <w:rsid w:val="00665F18"/>
    <w:rsid w:val="00673CC6"/>
    <w:rsid w:val="00684F30"/>
    <w:rsid w:val="0068662D"/>
    <w:rsid w:val="0069681E"/>
    <w:rsid w:val="006B4F53"/>
    <w:rsid w:val="006C0850"/>
    <w:rsid w:val="006C30BC"/>
    <w:rsid w:val="006D2E5E"/>
    <w:rsid w:val="006D4A59"/>
    <w:rsid w:val="006E0173"/>
    <w:rsid w:val="006E52E2"/>
    <w:rsid w:val="006F2DF7"/>
    <w:rsid w:val="00726688"/>
    <w:rsid w:val="007576B1"/>
    <w:rsid w:val="00770E91"/>
    <w:rsid w:val="00787D8B"/>
    <w:rsid w:val="00791A70"/>
    <w:rsid w:val="00797B6A"/>
    <w:rsid w:val="007B1750"/>
    <w:rsid w:val="007B1CAB"/>
    <w:rsid w:val="007C6CDA"/>
    <w:rsid w:val="007D1328"/>
    <w:rsid w:val="007D55AB"/>
    <w:rsid w:val="007F4686"/>
    <w:rsid w:val="007F7797"/>
    <w:rsid w:val="00800170"/>
    <w:rsid w:val="00806A03"/>
    <w:rsid w:val="0080773B"/>
    <w:rsid w:val="00812B5B"/>
    <w:rsid w:val="00820529"/>
    <w:rsid w:val="00822157"/>
    <w:rsid w:val="0083112D"/>
    <w:rsid w:val="00840746"/>
    <w:rsid w:val="00841473"/>
    <w:rsid w:val="008640C5"/>
    <w:rsid w:val="008779BE"/>
    <w:rsid w:val="00880687"/>
    <w:rsid w:val="00880BE1"/>
    <w:rsid w:val="008B0B55"/>
    <w:rsid w:val="008B2620"/>
    <w:rsid w:val="008B2C59"/>
    <w:rsid w:val="008B31F2"/>
    <w:rsid w:val="008B4098"/>
    <w:rsid w:val="008B7F70"/>
    <w:rsid w:val="008C1111"/>
    <w:rsid w:val="008C20AF"/>
    <w:rsid w:val="008D1414"/>
    <w:rsid w:val="008E333E"/>
    <w:rsid w:val="008E5332"/>
    <w:rsid w:val="008E7CAD"/>
    <w:rsid w:val="009017D0"/>
    <w:rsid w:val="00905ECE"/>
    <w:rsid w:val="009161EE"/>
    <w:rsid w:val="00924E15"/>
    <w:rsid w:val="00936DBB"/>
    <w:rsid w:val="009431AD"/>
    <w:rsid w:val="00947243"/>
    <w:rsid w:val="009533C5"/>
    <w:rsid w:val="00957C11"/>
    <w:rsid w:val="00961370"/>
    <w:rsid w:val="00977DCF"/>
    <w:rsid w:val="00982211"/>
    <w:rsid w:val="00987368"/>
    <w:rsid w:val="009A4DAB"/>
    <w:rsid w:val="009B2FF3"/>
    <w:rsid w:val="009C55DA"/>
    <w:rsid w:val="009D603E"/>
    <w:rsid w:val="009E2964"/>
    <w:rsid w:val="00A1595B"/>
    <w:rsid w:val="00A177EA"/>
    <w:rsid w:val="00A302BB"/>
    <w:rsid w:val="00A36D62"/>
    <w:rsid w:val="00A46FCF"/>
    <w:rsid w:val="00A479F2"/>
    <w:rsid w:val="00A64D88"/>
    <w:rsid w:val="00A90962"/>
    <w:rsid w:val="00A9402F"/>
    <w:rsid w:val="00AA2017"/>
    <w:rsid w:val="00AD254E"/>
    <w:rsid w:val="00AE0639"/>
    <w:rsid w:val="00AE1E2F"/>
    <w:rsid w:val="00AE2E68"/>
    <w:rsid w:val="00AF0651"/>
    <w:rsid w:val="00AF1F54"/>
    <w:rsid w:val="00AF424F"/>
    <w:rsid w:val="00AF79FF"/>
    <w:rsid w:val="00B355E1"/>
    <w:rsid w:val="00B443EE"/>
    <w:rsid w:val="00B4762C"/>
    <w:rsid w:val="00B50205"/>
    <w:rsid w:val="00B523BC"/>
    <w:rsid w:val="00B63EDF"/>
    <w:rsid w:val="00BA459D"/>
    <w:rsid w:val="00BB25A1"/>
    <w:rsid w:val="00BE186A"/>
    <w:rsid w:val="00BF1EBA"/>
    <w:rsid w:val="00BF252F"/>
    <w:rsid w:val="00BF4B3D"/>
    <w:rsid w:val="00C2159D"/>
    <w:rsid w:val="00C5258E"/>
    <w:rsid w:val="00C84CAD"/>
    <w:rsid w:val="00C85ADB"/>
    <w:rsid w:val="00C863D4"/>
    <w:rsid w:val="00CB6372"/>
    <w:rsid w:val="00CC3A0C"/>
    <w:rsid w:val="00D17045"/>
    <w:rsid w:val="00D62DC6"/>
    <w:rsid w:val="00D6590C"/>
    <w:rsid w:val="00D700E7"/>
    <w:rsid w:val="00D70631"/>
    <w:rsid w:val="00D72D5F"/>
    <w:rsid w:val="00D9359E"/>
    <w:rsid w:val="00DB03A9"/>
    <w:rsid w:val="00DB03FD"/>
    <w:rsid w:val="00DB043B"/>
    <w:rsid w:val="00DC30C9"/>
    <w:rsid w:val="00DD1139"/>
    <w:rsid w:val="00DE3717"/>
    <w:rsid w:val="00DF3C36"/>
    <w:rsid w:val="00DF7838"/>
    <w:rsid w:val="00E175D0"/>
    <w:rsid w:val="00E17B6E"/>
    <w:rsid w:val="00E22E0C"/>
    <w:rsid w:val="00E2744B"/>
    <w:rsid w:val="00E33CAA"/>
    <w:rsid w:val="00E36D14"/>
    <w:rsid w:val="00E408D8"/>
    <w:rsid w:val="00E50FF5"/>
    <w:rsid w:val="00E51BEE"/>
    <w:rsid w:val="00E55215"/>
    <w:rsid w:val="00E57485"/>
    <w:rsid w:val="00E634A5"/>
    <w:rsid w:val="00E919B8"/>
    <w:rsid w:val="00E93A13"/>
    <w:rsid w:val="00EA7274"/>
    <w:rsid w:val="00EB2440"/>
    <w:rsid w:val="00EB32B5"/>
    <w:rsid w:val="00ED377C"/>
    <w:rsid w:val="00ED637C"/>
    <w:rsid w:val="00ED7265"/>
    <w:rsid w:val="00ED73EE"/>
    <w:rsid w:val="00EF40D8"/>
    <w:rsid w:val="00F03AE4"/>
    <w:rsid w:val="00F04265"/>
    <w:rsid w:val="00F14107"/>
    <w:rsid w:val="00F15177"/>
    <w:rsid w:val="00F1662A"/>
    <w:rsid w:val="00F16769"/>
    <w:rsid w:val="00F22806"/>
    <w:rsid w:val="00F3109B"/>
    <w:rsid w:val="00F35C0A"/>
    <w:rsid w:val="00F379DA"/>
    <w:rsid w:val="00F40082"/>
    <w:rsid w:val="00F448F8"/>
    <w:rsid w:val="00F44F15"/>
    <w:rsid w:val="00F46CF8"/>
    <w:rsid w:val="00F52DEB"/>
    <w:rsid w:val="00F55201"/>
    <w:rsid w:val="00F9474A"/>
    <w:rsid w:val="00F94E57"/>
    <w:rsid w:val="00FB1CA9"/>
    <w:rsid w:val="00FB66BD"/>
    <w:rsid w:val="00FE6518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85A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5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4295"/>
    <w:pPr>
      <w:ind w:left="720"/>
      <w:contextualSpacing/>
    </w:pPr>
  </w:style>
  <w:style w:type="character" w:styleId="Odkaznakoment">
    <w:name w:val="annotation reference"/>
    <w:basedOn w:val="Standardnpsmoodstavce"/>
    <w:rsid w:val="00521F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1F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21F90"/>
  </w:style>
  <w:style w:type="paragraph" w:styleId="Pedmtkomente">
    <w:name w:val="annotation subject"/>
    <w:basedOn w:val="Textkomente"/>
    <w:next w:val="Textkomente"/>
    <w:link w:val="PedmtkomenteChar"/>
    <w:rsid w:val="00521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21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85A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5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4295"/>
    <w:pPr>
      <w:ind w:left="720"/>
      <w:contextualSpacing/>
    </w:pPr>
  </w:style>
  <w:style w:type="character" w:styleId="Odkaznakoment">
    <w:name w:val="annotation reference"/>
    <w:basedOn w:val="Standardnpsmoodstavce"/>
    <w:rsid w:val="00521F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1F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21F90"/>
  </w:style>
  <w:style w:type="paragraph" w:styleId="Pedmtkomente">
    <w:name w:val="annotation subject"/>
    <w:basedOn w:val="Textkomente"/>
    <w:next w:val="Textkomente"/>
    <w:link w:val="PedmtkomenteChar"/>
    <w:rsid w:val="00521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2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817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268845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90096204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olanek\Dokumenty\GP%202005\RK_prodlou&#382;en&#237;%20smlouvy_&#382;d&#237;rec%20n.d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146</TotalTime>
  <Pages>2</Pages>
  <Words>1002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ADD ME!</vt:lpstr>
    </vt:vector>
  </TitlesOfParts>
  <Company>Krajský úřad Jihlava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ME!</dc:title>
  <dc:creator>jachim, rojkova</dc:creator>
  <cp:lastModifiedBy>Jakoubková Marie</cp:lastModifiedBy>
  <cp:revision>8</cp:revision>
  <cp:lastPrinted>2013-11-28T15:08:00Z</cp:lastPrinted>
  <dcterms:created xsi:type="dcterms:W3CDTF">2013-11-26T20:37:00Z</dcterms:created>
  <dcterms:modified xsi:type="dcterms:W3CDTF">2013-11-28T15:08:00Z</dcterms:modified>
</cp:coreProperties>
</file>